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3.xml.rels" ContentType="application/vnd.openxmlformats-package.relationships+xml"/>
  <Override PartName="/word/_rels/foot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media/image2.png" ContentType="image/png"/>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Bauhaus 93" w:hAnsi="Bauhaus 93"/>
          <w:color w:themeColor="text1" w:themeTint="d9" w:val="1F497D"/>
          <w:sz w:val="32"/>
          <w:szCs w:val="32"/>
        </w:rPr>
      </w:pPr>
      <w:r>
        <w:rPr>
          <w:rFonts w:ascii="Bauhaus 93" w:hAnsi="Bauhaus 93"/>
          <w:color w:themeColor="text1" w:themeTint="d9" w:val="1F497D"/>
          <w:sz w:val="32"/>
          <w:szCs w:val="32"/>
        </w:rPr>
        <w:t>CONTRAT D’ABONNEMENT</w:t>
      </w:r>
    </w:p>
    <w:p>
      <w:pPr>
        <w:pStyle w:val="Normal"/>
        <w:jc w:val="center"/>
        <w:rPr>
          <w:rFonts w:ascii="Gill Sans MT" w:hAnsi="Gill Sans MT"/>
          <w:color w:themeColor="text1" w:themeTint="d9" w:val="1F497D"/>
          <w:sz w:val="20"/>
          <w:szCs w:val="20"/>
        </w:rPr>
      </w:pPr>
      <w:r>
        <w:rPr>
          <w:rFonts w:ascii="Gill Sans MT" w:hAnsi="Gill Sans MT"/>
          <w:color w:themeColor="text1" w:themeTint="d9" w:val="1F497D"/>
          <w:sz w:val="20"/>
          <w:szCs w:val="20"/>
        </w:rPr>
        <w:t>SERVICES DE GESTION DE FLOTTE</w:t>
      </w:r>
    </w:p>
    <w:p>
      <w:pPr>
        <w:pStyle w:val="Normal"/>
        <w:jc w:val="center"/>
        <w:rPr>
          <w:rFonts w:ascii="Adobe Caslon Pro" w:hAnsi="Adobe Caslon Pro"/>
          <w:i/>
          <w:i/>
          <w:iCs/>
          <w:color w:themeColor="text1" w:themeTint="d9" w:val="1F497D"/>
          <w:sz w:val="20"/>
          <w:szCs w:val="20"/>
        </w:rPr>
      </w:pPr>
      <w:r>
        <w:rPr>
          <w:rFonts w:ascii="Gill Sans MT" w:hAnsi="Gill Sans MT"/>
          <w:color w:themeColor="text1" w:themeTint="d9" w:val="1F497D"/>
          <w:sz w:val="20"/>
          <w:szCs w:val="20"/>
        </w:rPr>
        <w:t>&amp; DE GEOLOCALISATION</w:t>
      </w:r>
    </w:p>
    <w:p>
      <w:pPr>
        <w:pStyle w:val="Normal"/>
        <w:rPr>
          <w:rFonts w:ascii="Adobe Caslon Pro" w:hAnsi="Adobe Caslon Pro"/>
          <w:i/>
          <w:i/>
          <w:iCs/>
          <w:color w:themeColor="text1" w:themeTint="d9" w:val="1F497D"/>
        </w:rPr>
      </w:pPr>
      <w:r>
        <w:rPr>
          <w:rFonts w:ascii="Adobe Caslon Pro" w:hAnsi="Adobe Caslon Pro"/>
          <w:i/>
          <w:iCs/>
          <w:color w:themeColor="text1" w:themeTint="d9" w:val="1F497D"/>
        </w:rPr>
      </w:r>
    </w:p>
    <w:p>
      <w:pPr>
        <w:pStyle w:val="BodyText2"/>
        <w:jc w:val="left"/>
        <w:rPr>
          <w:rFonts w:ascii="Adobe Caslon Pro" w:hAnsi="Adobe Caslon Pro"/>
          <w:i/>
          <w:i/>
          <w:iCs/>
          <w:color w:themeColor="text1" w:themeTint="d9" w:val="1F497D"/>
        </w:rPr>
      </w:pPr>
      <w:r>
        <w:rPr>
          <w:rFonts w:ascii="Adobe Caslon Pro" w:hAnsi="Adobe Caslon Pro"/>
          <w:i/>
          <w:iCs/>
          <w:color w:themeColor="text1" w:themeTint="d9" w:val="1F497D"/>
        </w:rPr>
      </w:r>
    </w:p>
    <w:tbl>
      <w:tblPr>
        <w:tblW w:w="5000" w:type="pct"/>
        <w:jc w:val="left"/>
        <w:tblInd w:w="0" w:type="dxa"/>
        <w:tblLayout w:type="fixed"/>
        <w:tblCellMar>
          <w:top w:w="0" w:type="dxa"/>
          <w:left w:w="0" w:type="dxa"/>
          <w:bottom w:w="0" w:type="dxa"/>
          <w:right w:w="0" w:type="dxa"/>
        </w:tblCellMar>
      </w:tblPr>
      <w:tblGrid>
        <w:gridCol w:w="3776"/>
        <w:gridCol w:w="2461"/>
        <w:gridCol w:w="3119"/>
      </w:tblGrid>
      <w:tr>
        <w:trPr>
          <w:trHeight w:val="628" w:hRule="atLeast"/>
        </w:trPr>
        <w:tc>
          <w:tcPr>
            <w:tcW w:w="3776" w:type="dxa"/>
            <w:tcBorders/>
            <w:shd w:fill="CCCCCC" w:val="clear"/>
          </w:tcPr>
          <w:p>
            <w:pPr>
              <w:pStyle w:val="FrameContents"/>
              <w:rPr>
                <w:sz w:val="18"/>
                <w:szCs w:val="18"/>
              </w:rPr>
            </w:pPr>
            <w:r>
              <w:rPr>
                <w:sz w:val="18"/>
                <w:szCs w:val="18"/>
              </w:rPr>
            </w:r>
          </w:p>
          <w:p>
            <w:pPr>
              <w:pStyle w:val="FrameContents"/>
              <w:jc w:val="left"/>
              <w:rPr>
                <w:sz w:val="18"/>
                <w:szCs w:val="18"/>
              </w:rPr>
            </w:pPr>
            <w:r>
              <w:rPr>
                <w:color w:themeColor="text1" w:themeTint="d9" w:val="262626"/>
                <w:sz w:val="18"/>
                <w:szCs w:val="18"/>
              </w:rPr>
              <w:t xml:space="preserve">   </w:t>
            </w:r>
            <w:r>
              <w:rPr>
                <w:color w:themeColor="text1" w:themeTint="d9" w:val="262626"/>
                <w:sz w:val="18"/>
                <w:szCs w:val="18"/>
              </w:rPr>
              <w:t>Code Commercial / Agence :   ${codeCom}</w:t>
            </w:r>
          </w:p>
        </w:tc>
        <w:tc>
          <w:tcPr>
            <w:tcW w:w="2461" w:type="dxa"/>
            <w:tcBorders/>
          </w:tcPr>
          <w:p>
            <w:pPr>
              <w:pStyle w:val="TableContents"/>
              <w:rPr/>
            </w:pPr>
            <w:r>
              <w:rPr/>
            </w:r>
          </w:p>
        </w:tc>
        <w:tc>
          <w:tcPr>
            <w:tcW w:w="3119"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Contrat Num :   ${contractNum}</w:t>
            </w:r>
          </w:p>
        </w:tc>
      </w:tr>
    </w:tbl>
    <w:p>
      <w:pPr>
        <w:pStyle w:val="BodyText2"/>
        <w:spacing w:before="0" w:after="120"/>
        <w:rPr>
          <w:rFonts w:ascii="Calibri" w:hAnsi="Calibri" w:cs="Calibri" w:asciiTheme="minorHAnsi" w:cstheme="minorHAnsi" w:hAnsiTheme="minorHAnsi"/>
          <w:b/>
          <w:bCs/>
          <w:sz w:val="20"/>
        </w:rPr>
      </w:pPr>
      <w:r>
        <w:rPr>
          <w:rFonts w:cs="Calibri" w:cstheme="minorHAnsi" w:ascii="Calibri" w:hAnsi="Calibri"/>
          <w:b/>
          <w:bCs/>
          <w:sz w:val="20"/>
        </w:rPr>
      </w:r>
    </w:p>
    <w:p>
      <w:pPr>
        <w:pStyle w:val="BodyText2"/>
        <w:pBdr>
          <w:bottom w:val="single" w:sz="8" w:space="1" w:color="000000" w:themeColor="dark1"/>
        </w:pBdr>
        <w:spacing w:before="0" w:after="120"/>
        <w:rPr>
          <w:rFonts w:ascii="Calibri" w:hAnsi="Calibri" w:cs="Calibri" w:asciiTheme="minorHAnsi" w:cstheme="minorHAnsi" w:hAnsiTheme="minorHAnsi"/>
          <w:b/>
          <w:bCs/>
          <w:sz w:val="20"/>
        </w:rPr>
      </w:pPr>
      <w:r>
        <mc:AlternateContent>
          <mc:Choice Requires="wps">
            <w:drawing>
              <wp:anchor behindDoc="0" distT="6985" distB="6985" distL="6350" distR="7620" simplePos="0" locked="0" layoutInCell="1" allowOverlap="1" relativeHeight="19" wp14:anchorId="2D2E8C7F">
                <wp:simplePos x="0" y="0"/>
                <wp:positionH relativeFrom="column">
                  <wp:posOffset>858520</wp:posOffset>
                </wp:positionH>
                <wp:positionV relativeFrom="paragraph">
                  <wp:posOffset>234950</wp:posOffset>
                </wp:positionV>
                <wp:extent cx="45720" cy="45720"/>
                <wp:effectExtent l="6350" t="6985" r="7620" b="6985"/>
                <wp:wrapNone/>
                <wp:docPr id="1" name="Ellipse 11"/>
                <a:graphic xmlns:a="http://schemas.openxmlformats.org/drawingml/2006/main">
                  <a:graphicData uri="http://schemas.microsoft.com/office/word/2010/wordprocessingShape">
                    <wps:wsp>
                      <wps:cNvSpPr/>
                      <wps:spPr>
                        <a:xfrm>
                          <a:off x="0" y="0"/>
                          <a:ext cx="45720" cy="45720"/>
                        </a:xfrm>
                        <a:prstGeom prst="ellipse">
                          <a:avLst/>
                        </a:prstGeom>
                        <a:noFill/>
                        <a:ln w="12700">
                          <a:solidFill>
                            <a:srgbClr val="ff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Ellipse 11" path="l-2147483648,-2147483643l-2147483628,-2147483627l-2147483648,-2147483643l-2147483626,-2147483625xe" stroked="t" o:allowincell="f" style="position:absolute;margin-left:67.6pt;margin-top:18.5pt;width:3.55pt;height:3.55pt;mso-wrap-style:none;v-text-anchor:middle" wp14:anchorId="2D2E8C7F">
                <v:fill o:detectmouseclick="t" on="false"/>
                <v:stroke color="red" weight="12600" joinstyle="round" endcap="flat"/>
                <w10:wrap type="none"/>
              </v:oval>
            </w:pict>
          </mc:Fallback>
        </mc:AlternateContent>
      </w:r>
      <w:r>
        <w:rPr>
          <w:rFonts w:cs="Calibri" w:ascii="Calibri" w:hAnsi="Calibri" w:asciiTheme="minorHAnsi" w:cstheme="minorHAnsi" w:hAnsiTheme="minorHAnsi"/>
          <w:b/>
          <w:bCs/>
          <w:sz w:val="20"/>
        </w:rPr>
        <w:t>Entre les soussignés</w:t>
      </w:r>
    </w:p>
    <w:p>
      <w:pPr>
        <w:pStyle w:val="BodyText2"/>
        <w:rPr>
          <w:rFonts w:ascii="Calibri" w:hAnsi="Calibri" w:cs="Calibri" w:asciiTheme="minorHAnsi" w:cstheme="minorHAnsi" w:hAnsiTheme="minorHAnsi"/>
          <w:b/>
          <w:bCs/>
          <w:sz w:val="20"/>
        </w:rPr>
      </w:pPr>
      <w:r>
        <w:rPr>
          <w:rFonts w:cs="Calibri" w:ascii="Calibri" w:hAnsi="Calibri" w:asciiTheme="minorHAnsi" w:cstheme="minorHAnsi" w:hAnsiTheme="minorHAnsi"/>
          <w:sz w:val="20"/>
        </w:rPr>
        <w:t xml:space="preserve">La société </w:t>
      </w:r>
      <w:r>
        <w:rPr>
          <w:rFonts w:cs="Calibri" w:ascii="Calibri" w:hAnsi="Calibri" w:asciiTheme="minorHAnsi" w:cstheme="minorHAnsi" w:hAnsiTheme="minorHAnsi"/>
          <w:b/>
          <w:bCs/>
          <w:color w:themeColor="text1" w:themeTint="d9" w:val="0070C0"/>
          <w:sz w:val="20"/>
        </w:rPr>
        <w:t>VEONI</w:t>
      </w:r>
      <w:r>
        <w:rPr>
          <w:rFonts w:cs="Calibri" w:ascii="Calibri" w:hAnsi="Calibri" w:asciiTheme="minorHAnsi" w:cstheme="minorHAnsi" w:hAnsiTheme="minorHAnsi"/>
          <w:sz w:val="20"/>
        </w:rPr>
        <w:t xml:space="preserve">, société anonyme au capital de 200 mille dinars, </w:t>
      </w:r>
      <w:r>
        <w:rPr>
          <w:rFonts w:cs="Calibri" w:ascii="Calibri" w:hAnsi="Calibri" w:asciiTheme="minorHAnsi" w:cstheme="minorHAnsi" w:hAnsiTheme="minorHAnsi"/>
          <w:color w:themeColor="text1" w:themeTint="d9" w:val="auto"/>
          <w:sz w:val="20"/>
        </w:rPr>
        <w:t>inscrite au RNE sous le 1166273Y sise au 16, impasse n°2 rue de l’énergie solaire ZI charguia1, 2035 Tu</w:t>
      </w:r>
      <w:r>
        <w:rPr>
          <w:rFonts w:cs="Calibri" w:ascii="Calibri" w:hAnsi="Calibri" w:asciiTheme="minorHAnsi" w:cstheme="minorHAnsi" w:hAnsiTheme="minorHAnsi"/>
          <w:sz w:val="20"/>
        </w:rPr>
        <w:t xml:space="preserve">nis </w:t>
      </w:r>
      <w:r>
        <w:rPr>
          <w:rFonts w:cs="Calibri" w:ascii="Calibri" w:hAnsi="Calibri" w:asciiTheme="minorHAnsi" w:cstheme="minorHAnsi" w:hAnsiTheme="minorHAnsi"/>
          <w:color w:themeColor="text1" w:themeTint="d9" w:val="auto"/>
          <w:sz w:val="20"/>
        </w:rPr>
        <w:t>C/O TUT</w:t>
      </w:r>
      <w:r>
        <w:rPr>
          <w:rFonts w:cs="Calibri" w:ascii="Calibri" w:hAnsi="Calibri" w:asciiTheme="minorHAnsi" w:cstheme="minorHAnsi" w:hAnsiTheme="minorHAnsi"/>
          <w:sz w:val="20"/>
        </w:rPr>
        <w:t>, représentée par son mandataire social ou son représentant</w:t>
      </w:r>
    </w:p>
    <w:p>
      <w:pPr>
        <w:pStyle w:val="BodyText2"/>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Et</w:t>
      </w:r>
    </w:p>
    <w:tbl>
      <w:tblPr>
        <w:tblW w:w="5000" w:type="pct"/>
        <w:jc w:val="left"/>
        <w:tblInd w:w="0" w:type="dxa"/>
        <w:tblLayout w:type="fixed"/>
        <w:tblCellMar>
          <w:top w:w="0" w:type="dxa"/>
          <w:left w:w="0" w:type="dxa"/>
          <w:bottom w:w="0" w:type="dxa"/>
          <w:right w:w="0" w:type="dxa"/>
        </w:tblCellMar>
      </w:tblPr>
      <w:tblGrid>
        <w:gridCol w:w="1975"/>
        <w:gridCol w:w="363"/>
        <w:gridCol w:w="5"/>
        <w:gridCol w:w="357"/>
        <w:gridCol w:w="175"/>
        <w:gridCol w:w="1625"/>
        <w:gridCol w:w="89"/>
        <w:gridCol w:w="454"/>
        <w:gridCol w:w="178"/>
        <w:gridCol w:w="629"/>
        <w:gridCol w:w="93"/>
        <w:gridCol w:w="1073"/>
        <w:gridCol w:w="277"/>
        <w:gridCol w:w="2062"/>
      </w:tblGrid>
      <w:tr>
        <w:trPr/>
        <w:tc>
          <w:tcPr>
            <w:tcW w:w="5943" w:type="dxa"/>
            <w:gridSpan w:val="11"/>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Nom et prénom du mandataire social : John Doe</w:t>
            </w:r>
          </w:p>
        </w:tc>
        <w:tc>
          <w:tcPr>
            <w:tcW w:w="3412" w:type="dxa"/>
            <w:gridSpan w:val="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 CIN/carte de séjour :${CIN}</w:t>
            </w:r>
          </w:p>
        </w:tc>
      </w:tr>
      <w:tr>
        <w:trPr>
          <w:trHeight w:val="272" w:hRule="atLeast"/>
        </w:trPr>
        <w:tc>
          <w:tcPr>
            <w:tcW w:w="4500"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Raison sociale :${socialReason}</w:t>
            </w:r>
          </w:p>
        </w:tc>
        <w:tc>
          <w:tcPr>
            <w:tcW w:w="4855" w:type="dxa"/>
            <w:gridSpan w:val="8"/>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N° Registre du Commerce :${commerceNum}</w:t>
            </w:r>
          </w:p>
        </w:tc>
      </w:tr>
      <w:tr>
        <w:trPr/>
        <w:tc>
          <w:tcPr>
            <w:tcW w:w="2700" w:type="dxa"/>
            <w:gridSpan w:val="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TVA :${tvaCode}</w:t>
            </w:r>
          </w:p>
        </w:tc>
        <w:tc>
          <w:tcPr>
            <w:tcW w:w="3150"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Exonéré :</w:t>
            </w:r>
            <w:r>
              <w:rPr>
                <w:rFonts w:cs="Calibri" w:ascii="Calibri" w:hAnsi="Calibri" w:cstheme="minorHAnsi"/>
                <w:sz w:val="20"/>
              </w:rPr>
              <w:t xml:space="preserve"> </w:t>
            </w:r>
            <w:r>
              <w:rPr>
                <w:rFonts w:cs="Calibri" w:ascii="Calibri" w:hAnsi="Calibri" w:cstheme="minorHAnsi"/>
                <w:sz w:val="20"/>
              </w:rPr>
              <w:t>${exonerated}</w:t>
            </w:r>
          </w:p>
        </w:tc>
        <w:tc>
          <w:tcPr>
            <w:tcW w:w="3505" w:type="dxa"/>
            <w:gridSpan w:val="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en Douane :${customsCode}</w:t>
            </w:r>
          </w:p>
        </w:tc>
      </w:tr>
      <w:tr>
        <w:trPr>
          <w:trHeight w:val="272" w:hRule="atLeast"/>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Activité de l’entreprise :  ${enterpriseActivity}</w:t>
            </w:r>
          </w:p>
        </w:tc>
      </w:tr>
      <w:tr>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Adresse de correspondance : ${correspondanceAddress}</w:t>
            </w:r>
          </w:p>
        </w:tc>
      </w:tr>
      <w:tr>
        <w:trPr/>
        <w:tc>
          <w:tcPr>
            <w:tcW w:w="2338" w:type="dxa"/>
            <w:gridSpan w:val="2"/>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Ville :${city}</w:t>
            </w:r>
          </w:p>
        </w:tc>
        <w:tc>
          <w:tcPr>
            <w:tcW w:w="2251"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Gouvernorat :${state}</w:t>
            </w:r>
          </w:p>
        </w:tc>
        <w:tc>
          <w:tcPr>
            <w:tcW w:w="2427"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Code postal :${zipCode}</w:t>
            </w:r>
          </w:p>
        </w:tc>
        <w:tc>
          <w:tcPr>
            <w:tcW w:w="2339" w:type="dxa"/>
            <w:gridSpan w:val="2"/>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Localité :${locality}</w:t>
            </w:r>
          </w:p>
        </w:tc>
      </w:tr>
      <w:tr>
        <w:trPr/>
        <w:tc>
          <w:tcPr>
            <w:tcW w:w="5043" w:type="dxa"/>
            <w:gridSpan w:val="8"/>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E-mail du mandataire social ${email}</w:t>
            </w:r>
          </w:p>
        </w:tc>
        <w:tc>
          <w:tcPr>
            <w:tcW w:w="2250"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Tél :${phone}</w:t>
            </w:r>
          </w:p>
        </w:tc>
        <w:tc>
          <w:tcPr>
            <w:tcW w:w="2062" w:type="dxa"/>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Fax :${fax}</w:t>
            </w:r>
          </w:p>
        </w:tc>
      </w:tr>
      <w:tr>
        <w:trPr/>
        <w:tc>
          <w:tcPr>
            <w:tcW w:w="9355" w:type="dxa"/>
            <w:gridSpan w:val="14"/>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Adresse d’installation :${installationAddress}</w:t>
            </w:r>
          </w:p>
        </w:tc>
      </w:tr>
      <w:tr>
        <w:trPr>
          <w:trHeight w:val="272" w:hRule="atLeast"/>
        </w:trPr>
        <w:tc>
          <w:tcPr>
            <w:tcW w:w="2875"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Contact Administratif et financier :</w:t>
            </w:r>
          </w:p>
        </w:tc>
        <w:tc>
          <w:tcPr>
            <w:tcW w:w="6480" w:type="dxa"/>
            <w:gridSpan w:val="9"/>
            <w:tcBorders/>
          </w:tcPr>
          <w:p>
            <w:pPr>
              <w:pStyle w:val="TableContents"/>
              <w:rPr/>
            </w:pPr>
            <w:r>
              <w:rPr/>
              <w:t xml:space="preserve"> </w:t>
            </w:r>
            <w:r>
              <w:rPr>
                <w:rFonts w:cs="Calibri" w:ascii="Calibri" w:hAnsi="Calibri" w:asciiTheme="minorHAnsi" w:cstheme="minorHAnsi" w:hAnsiTheme="minorHAnsi"/>
                <w:sz w:val="20"/>
              </w:rPr>
              <w:t>Nom et Prénom :${adminFullName}</w:t>
            </w:r>
          </w:p>
        </w:tc>
      </w:tr>
      <w:tr>
        <w:trPr/>
        <w:tc>
          <w:tcPr>
            <w:tcW w:w="2343" w:type="dxa"/>
            <w:gridSpan w:val="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Tél :${adminPhone}</w:t>
            </w:r>
          </w:p>
        </w:tc>
        <w:tc>
          <w:tcPr>
            <w:tcW w:w="2878" w:type="dxa"/>
            <w:gridSpan w:val="6"/>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GSM :${adminGsm}</w:t>
            </w:r>
          </w:p>
        </w:tc>
        <w:tc>
          <w:tcPr>
            <w:tcW w:w="4134" w:type="dxa"/>
            <w:gridSpan w:val="5"/>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E-mail :${adminEmail}</w:t>
            </w:r>
          </w:p>
        </w:tc>
      </w:tr>
      <w:tr>
        <w:trPr/>
        <w:tc>
          <w:tcPr>
            <w:tcW w:w="1975" w:type="dxa"/>
            <w:tcBorders/>
          </w:tcPr>
          <w:p>
            <w:pPr>
              <w:pStyle w:val="BodyText2"/>
              <w:rPr>
                <w:rFonts w:ascii="Calibri" w:hAnsi="Calibri" w:cs="Calibri" w:asciiTheme="minorHAnsi" w:cstheme="minorHAnsi" w:hAnsiTheme="minorHAnsi"/>
                <w:sz w:val="18"/>
                <w:szCs w:val="18"/>
              </w:rPr>
            </w:pPr>
            <w:r>
              <w:rPr>
                <w:rFonts w:cs="Calibri" w:ascii="Calibri" w:hAnsi="Calibri" w:asciiTheme="minorHAnsi" w:cstheme="minorHAnsi" w:hAnsiTheme="minorHAnsi"/>
                <w:sz w:val="20"/>
              </w:rPr>
              <w:t>E-mail de facturation :</w:t>
            </w:r>
          </w:p>
        </w:tc>
        <w:tc>
          <w:tcPr>
            <w:tcW w:w="7380" w:type="dxa"/>
            <w:gridSpan w:val="13"/>
            <w:tcBorders/>
          </w:tcPr>
          <w:p>
            <w:pPr>
              <w:pStyle w:val="BodyText2"/>
              <w:rPr>
                <w:rFonts w:ascii="Calibri" w:hAnsi="Calibri" w:cs="Calibri" w:asciiTheme="minorHAnsi" w:cstheme="minorHAnsi" w:hAnsiTheme="minorHAnsi"/>
                <w:sz w:val="20"/>
              </w:rPr>
            </w:pPr>
            <w:r>
              <w:rPr>
                <w:rFonts w:cs="Calibri" w:ascii="Calibri" w:hAnsi="Calibri" w:asciiTheme="minorHAnsi" w:cstheme="minorHAnsi" w:hAnsiTheme="minorHAnsi"/>
                <w:sz w:val="20"/>
              </w:rPr>
              <w:t>${billingEmail}</w:t>
            </w:r>
          </w:p>
        </w:tc>
      </w:tr>
    </w:tbl>
    <w:p>
      <w:pPr>
        <w:pStyle w:val="BodyText2"/>
        <w:jc w:val="left"/>
        <w:rPr>
          <w:rFonts w:ascii="Book Antiqua" w:hAnsi="Book Antiqua"/>
          <w:b/>
          <w:bCs/>
          <w:i/>
          <w:i/>
          <w:iCs/>
          <w:color w:themeColor="text2" w:themeShade="bf" w:val="17365D"/>
          <w:sz w:val="18"/>
          <w:szCs w:val="18"/>
        </w:rPr>
      </w:pPr>
      <w:r>
        <mc:AlternateContent>
          <mc:Choice Requires="wps">
            <w:drawing>
              <wp:anchor behindDoc="0" distT="12065" distB="11430" distL="5715" distR="7620" simplePos="0" locked="0" layoutInCell="1" allowOverlap="1" relativeHeight="14" wp14:anchorId="6DD0B907">
                <wp:simplePos x="0" y="0"/>
                <wp:positionH relativeFrom="column">
                  <wp:posOffset>5080</wp:posOffset>
                </wp:positionH>
                <wp:positionV relativeFrom="paragraph">
                  <wp:posOffset>35560</wp:posOffset>
                </wp:positionV>
                <wp:extent cx="142875" cy="66675"/>
                <wp:effectExtent l="5715" t="12065" r="7620" b="11430"/>
                <wp:wrapNone/>
                <wp:docPr id="2" name="AutoShape 2"/>
                <a:graphic xmlns:a="http://schemas.openxmlformats.org/drawingml/2006/main">
                  <a:graphicData uri="http://schemas.microsoft.com/office/word/2010/wordprocessingShape">
                    <wps:wsp>
                      <wps:cNvSpPr/>
                      <wps:spPr>
                        <a:xfrm>
                          <a:off x="0" y="0"/>
                          <a:ext cx="142920" cy="66600"/>
                        </a:xfrm>
                        <a:prstGeom prst="rightArrow">
                          <a:avLst>
                            <a:gd name="adj1" fmla="val 50000"/>
                            <a:gd name="adj2" fmla="val 53571"/>
                          </a:avLst>
                        </a:prstGeom>
                        <a:solidFill>
                          <a:srgbClr val="ffffff"/>
                        </a:solidFill>
                        <a:ln w="9525">
                          <a:solidFill>
                            <a:srgbClr val="000000"/>
                          </a:solidFill>
                          <a:miter/>
                        </a:ln>
                      </wps:spPr>
                      <wps:style>
                        <a:lnRef idx="0"/>
                        <a:fillRef idx="0"/>
                        <a:effectRef idx="0"/>
                        <a:fontRef idx="minor"/>
                      </wps:style>
                      <wps:bodyPr/>
                    </wps:wsp>
                  </a:graphicData>
                </a:graphic>
              </wp:anchor>
            </w:drawing>
          </mc:Choice>
          <mc:Fallback>
            <w:pict>
              <v:shapetype id="_x0000_t13" coordsize="21600,21600" o:spt="13" adj="10800,10800" path="m0@5l@3@5l@3,l21600,10800l@3,21600l@3@6l0@6xe">
                <v:stroke joinstyle="miter"/>
                <v:formulas>
                  <v:f eqn="val 21600"/>
                  <v:f eqn="val #1"/>
                  <v:f eqn="val #0"/>
                  <v:f eqn="sum width 0 @2"/>
                  <v:f eqn="prod 1 @1 2"/>
                  <v:f eqn="sum 10800 0 @4"/>
                  <v:f eqn="sum 10800 @4 0"/>
                  <v:f eqn="prod @5 @2 10800"/>
                  <v:f eqn="sum @3 @7 0"/>
                </v:formulas>
                <v:path gradientshapeok="t" o:connecttype="rect" textboxrect="0,@5,@8,@6"/>
                <v:handles>
                  <v:h position="0,@5"/>
                  <v:h position="@3,0"/>
                </v:handles>
              </v:shapetype>
              <v:shape id="shape_0" ID="AutoShape 2" path="l-2147483635,-2147483631l-2147483635,0l-2147483622,-2147483632l-2147483635,-2147483623l-2147483635,-2147483629l0,-2147483629xe" fillcolor="white" stroked="t" o:allowincell="f" style="position:absolute;margin-left:0.4pt;margin-top:2.8pt;width:11.2pt;height:5.2pt;mso-wrap-style:none;v-text-anchor:middle" wp14:anchorId="6DD0B907" type="_x0000_t13">
                <v:fill o:detectmouseclick="t" type="solid" color2="black"/>
                <v:stroke color="black" weight="9360" joinstyle="miter" endcap="flat"/>
                <w10:wrap type="none"/>
              </v:shape>
            </w:pict>
          </mc:Fallback>
        </mc:AlternateContent>
      </w:r>
      <w:r>
        <w:rPr>
          <w:rFonts w:ascii="Book Antiqua" w:hAnsi="Book Antiqua"/>
          <w:sz w:val="18"/>
          <w:szCs w:val="18"/>
        </w:rPr>
        <w:t xml:space="preserve">        </w:t>
      </w:r>
      <w:r>
        <w:rPr>
          <w:rFonts w:ascii="Book Antiqua" w:hAnsi="Book Antiqua"/>
          <w:b/>
          <w:bCs/>
          <w:i/>
          <w:iCs/>
          <w:color w:themeColor="text2" w:themeShade="bf" w:val="17365D"/>
          <w:sz w:val="18"/>
          <w:szCs w:val="18"/>
        </w:rPr>
        <w:t xml:space="preserve">Cette adresse e-mail vous permettra de recevoir les courriers de VEONI </w:t>
      </w:r>
    </w:p>
    <w:p>
      <w:pPr>
        <w:pStyle w:val="BodyText2"/>
        <w:pBdr>
          <w:bottom w:val="single" w:sz="8" w:space="1" w:color="000000" w:themeColor="dark1"/>
        </w:pBdr>
        <w:spacing w:before="120" w:after="12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Types d’abonnements</w:t>
      </w:r>
    </w:p>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b/>
          <w:bCs/>
          <w:color w:themeColor="text1" w:themeTint="d9" w:val="auto"/>
          <w:sz w:val="20"/>
        </w:rPr>
        <w:t>Valeur mensuelle HT des services</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color w:themeColor="text1" w:themeTint="d9" w:val="auto"/>
          <w:sz w:val="20"/>
        </w:rPr>
        <w:t>Basic + 24 Dt HT   Gold : 27 DT HT    Platinum : 35 Dt HT  Diamond : 50 Dt HT</w:t>
      </w:r>
    </w:p>
    <w:tbl>
      <w:tblPr>
        <w:tblW w:w="9450" w:type="dxa"/>
        <w:jc w:val="left"/>
        <w:tblInd w:w="0" w:type="dxa"/>
        <w:tblLayout w:type="fixed"/>
        <w:tblCellMar>
          <w:top w:w="0" w:type="dxa"/>
          <w:left w:w="0" w:type="dxa"/>
          <w:bottom w:w="0" w:type="dxa"/>
          <w:right w:w="0" w:type="dxa"/>
        </w:tblCellMar>
      </w:tblPr>
      <w:tblGrid>
        <w:gridCol w:w="2155"/>
        <w:gridCol w:w="1988"/>
        <w:gridCol w:w="83"/>
        <w:gridCol w:w="2345"/>
        <w:gridCol w:w="2878"/>
      </w:tblGrid>
      <w:tr>
        <w:trPr/>
        <w:tc>
          <w:tcPr>
            <w:tcW w:w="2155"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eastAsia="Wingdings" w:cs="Wingdings" w:ascii="Wingdings" w:hAnsi="Wingdings"/>
                <w:b/>
                <w:bCs/>
                <w:color w:themeColor="text1" w:themeTint="d9" w:val="auto"/>
                <w:sz w:val="20"/>
              </w:rPr>
              <w:sym w:font="Wingdings" w:char="f0a8"/>
            </w:r>
            <w:r>
              <w:rPr>
                <w:rFonts w:cs="Calibri" w:ascii="Calibri" w:hAnsi="Calibri" w:asciiTheme="minorHAnsi" w:cstheme="minorHAnsi" w:hAnsiTheme="minorHAnsi"/>
                <w:b/>
                <w:bCs/>
                <w:color w:themeColor="text1" w:themeTint="d9" w:val="auto"/>
                <w:sz w:val="20"/>
                <w:lang w:val="en-US"/>
              </w:rPr>
              <w:t xml:space="preserve">  </w:t>
            </w:r>
            <w:r>
              <w:rPr>
                <w:rFonts w:cs="Calibri" w:ascii="Calibri" w:hAnsi="Calibri" w:asciiTheme="minorHAnsi" w:cstheme="minorHAnsi" w:hAnsiTheme="minorHAnsi"/>
                <w:b/>
                <w:bCs/>
                <w:color w:themeColor="text1" w:themeTint="d9" w:val="auto"/>
                <w:sz w:val="20"/>
                <w:lang w:val="en-US"/>
              </w:rPr>
              <w:t xml:space="preserve">Basic </w:t>
            </w:r>
            <w:r>
              <w:rPr>
                <w:rFonts w:cs="Calibri" w:ascii="Calibri" w:hAnsi="Calibri" w:asciiTheme="minorHAnsi" w:cstheme="minorHAnsi" w:hAnsiTheme="minorHAnsi"/>
                <w:b/>
                <w:bCs/>
                <w:color w:themeColor="text1" w:themeTint="d9" w:val="auto"/>
                <w:szCs w:val="24"/>
                <w:lang w:val="en-US"/>
              </w:rPr>
              <w:t>+</w:t>
            </w:r>
            <w:r>
              <w:rPr>
                <w:rFonts w:cs="Calibri" w:ascii="Calibri" w:hAnsi="Calibri" w:asciiTheme="minorHAnsi" w:cstheme="minorHAnsi" w:hAnsiTheme="minorHAnsi"/>
                <w:b/>
                <w:bCs/>
                <w:color w:themeColor="text1" w:themeTint="d9" w:val="auto"/>
                <w:sz w:val="20"/>
                <w:lang w:val="en-US"/>
              </w:rPr>
              <w:t>:Nb: ${basic}</w:t>
            </w:r>
          </w:p>
        </w:tc>
        <w:tc>
          <w:tcPr>
            <w:tcW w:w="2071" w:type="dxa"/>
            <w:gridSpan w:val="2"/>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eastAsia="Wingdings" w:cs="Wingdings" w:ascii="Wingdings" w:hAnsi="Wingdings"/>
                <w:b/>
                <w:bCs/>
                <w:color w:themeColor="text1" w:themeTint="d9" w:val="auto"/>
                <w:sz w:val="20"/>
              </w:rPr>
              <w:sym w:font="Wingdings" w:char="f0a8"/>
            </w:r>
            <w:r>
              <w:rPr>
                <w:rFonts w:cs="Calibri" w:ascii="Calibri" w:hAnsi="Calibri" w:asciiTheme="minorHAnsi" w:cstheme="minorHAnsi" w:hAnsiTheme="minorHAnsi"/>
                <w:b/>
                <w:bCs/>
                <w:color w:themeColor="text1" w:themeTint="d9" w:val="auto"/>
                <w:sz w:val="20"/>
                <w:lang w:val="en-US"/>
              </w:rPr>
              <w:t xml:space="preserve">  </w:t>
            </w:r>
            <w:r>
              <w:rPr>
                <w:rFonts w:cs="Calibri" w:ascii="Calibri" w:hAnsi="Calibri" w:asciiTheme="minorHAnsi" w:cstheme="minorHAnsi" w:hAnsiTheme="minorHAnsi"/>
                <w:b/>
                <w:bCs/>
                <w:color w:themeColor="text1" w:themeTint="d9" w:val="auto"/>
                <w:sz w:val="20"/>
                <w:lang w:val="en-US"/>
              </w:rPr>
              <w:t>Gold:  Nb: ${gold}</w:t>
            </w:r>
          </w:p>
        </w:tc>
        <w:tc>
          <w:tcPr>
            <w:tcW w:w="2345"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eastAsia="Wingdings" w:cs="Wingdings" w:ascii="Wingdings" w:hAnsi="Wingdings"/>
                <w:b/>
                <w:bCs/>
                <w:color w:themeColor="text1" w:themeTint="d9" w:val="auto"/>
                <w:sz w:val="20"/>
              </w:rPr>
              <w:sym w:font="Wingdings" w:char="f0a8"/>
            </w:r>
            <w:r>
              <w:rPr>
                <w:rFonts w:cs="Calibri" w:ascii="Calibri" w:hAnsi="Calibri" w:asciiTheme="minorHAnsi" w:cstheme="minorHAnsi" w:hAnsiTheme="minorHAnsi"/>
                <w:b/>
                <w:bCs/>
                <w:color w:themeColor="text1" w:themeTint="d9" w:val="auto"/>
                <w:sz w:val="20"/>
                <w:lang w:val="en-US"/>
              </w:rPr>
              <w:t xml:space="preserve">  </w:t>
            </w:r>
            <w:r>
              <w:rPr>
                <w:rFonts w:cs="Calibri" w:ascii="Calibri" w:hAnsi="Calibri" w:asciiTheme="minorHAnsi" w:cstheme="minorHAnsi" w:hAnsiTheme="minorHAnsi"/>
                <w:b/>
                <w:bCs/>
                <w:color w:themeColor="text1" w:themeTint="d9" w:val="auto"/>
                <w:sz w:val="20"/>
                <w:lang w:val="en-US"/>
              </w:rPr>
              <w:t>Platinum:   Nb:${plat}</w:t>
            </w:r>
          </w:p>
        </w:tc>
        <w:tc>
          <w:tcPr>
            <w:tcW w:w="2878" w:type="dxa"/>
            <w:tcBorders/>
          </w:tcPr>
          <w:p>
            <w:pPr>
              <w:pStyle w:val="BodyText2"/>
              <w:spacing w:before="0" w:after="120"/>
              <w:jc w:val="left"/>
              <w:rPr>
                <w:rFonts w:ascii="Calibri" w:hAnsi="Calibri" w:cs="Calibri" w:asciiTheme="minorHAnsi" w:cstheme="minorHAnsi" w:hAnsiTheme="minorHAnsi"/>
                <w:b/>
                <w:bCs/>
                <w:color w:themeColor="text1" w:themeTint="d9" w:val="auto"/>
                <w:sz w:val="20"/>
              </w:rPr>
            </w:pPr>
            <w:r>
              <w:rPr>
                <w:rFonts w:eastAsia="Wingdings" w:cs="Wingdings" w:ascii="Wingdings" w:hAnsi="Wingdings"/>
                <w:b/>
                <w:bCs/>
                <w:color w:themeColor="text1" w:themeTint="d9" w:val="auto"/>
                <w:sz w:val="20"/>
              </w:rPr>
              <w:sym w:font="Wingdings" w:char="f0a8"/>
            </w:r>
            <w:r>
              <w:rPr>
                <w:rFonts w:cs="Calibri" w:ascii="Calibri" w:hAnsi="Calibri" w:asciiTheme="minorHAnsi" w:cstheme="minorHAnsi" w:hAnsiTheme="minorHAnsi"/>
                <w:b/>
                <w:bCs/>
                <w:color w:themeColor="text1" w:themeTint="d9" w:val="auto"/>
                <w:sz w:val="20"/>
                <w:lang w:val="en-US"/>
              </w:rPr>
              <w:t xml:space="preserve">  </w:t>
            </w:r>
            <w:r>
              <w:rPr>
                <w:rFonts w:cs="Calibri" w:ascii="Calibri" w:hAnsi="Calibri" w:asciiTheme="minorHAnsi" w:cstheme="minorHAnsi" w:hAnsiTheme="minorHAnsi"/>
                <w:b/>
                <w:bCs/>
                <w:color w:themeColor="text1" w:themeTint="d9" w:val="auto"/>
                <w:sz w:val="20"/>
              </w:rPr>
              <w:t>Diamond :  Nb:${diamond}</w:t>
            </w:r>
          </w:p>
        </w:tc>
      </w:tr>
      <w:tr>
        <w:trPr/>
        <w:tc>
          <w:tcPr>
            <w:tcW w:w="4143" w:type="dxa"/>
            <w:gridSpan w:val="2"/>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Valeur unitaire des équipements :${unitaryValue}</w:t>
            </w:r>
          </w:p>
        </w:tc>
        <w:tc>
          <w:tcPr>
            <w:tcW w:w="2428" w:type="dxa"/>
            <w:gridSpan w:val="2"/>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Nb équipements :${equipNum}</w:t>
            </w:r>
          </w:p>
        </w:tc>
        <w:tc>
          <w:tcPr>
            <w:tcW w:w="2878" w:type="dxa"/>
            <w:tcBorders/>
          </w:tcPr>
          <w:p>
            <w:pPr>
              <w:pStyle w:val="BodyText2"/>
              <w:jc w:val="left"/>
              <w:rPr>
                <w:rFonts w:ascii="Calibri" w:hAnsi="Calibri" w:cs="Calibri" w:asciiTheme="minorHAnsi" w:cstheme="minorHAnsi" w:hAnsiTheme="minorHAnsi"/>
                <w:b/>
                <w:bCs/>
                <w:color w:themeColor="text1" w:themeTint="d9" w:val="auto"/>
                <w:sz w:val="20"/>
              </w:rPr>
            </w:pPr>
            <w:r>
              <w:rPr>
                <w:rFonts w:cs="Calibri" w:ascii="Calibri" w:hAnsi="Calibri" w:asciiTheme="minorHAnsi" w:cstheme="minorHAnsi" w:hAnsiTheme="minorHAnsi"/>
                <w:b/>
                <w:bCs/>
                <w:color w:themeColor="text1" w:themeTint="d9" w:val="auto"/>
                <w:sz w:val="20"/>
              </w:rPr>
              <w:t>Valeur totale de garantie :${totalGuarentee}</w:t>
            </w:r>
          </w:p>
        </w:tc>
      </w:tr>
    </w:tbl>
    <w:p>
      <w:pPr>
        <w:pStyle w:val="BodyText2"/>
        <w:jc w:val="left"/>
        <w:rPr>
          <w:rFonts w:ascii="Calibri" w:hAnsi="Calibri" w:cs="Calibri" w:asciiTheme="minorHAnsi" w:cstheme="minorHAnsi" w:hAnsiTheme="minorHAnsi"/>
          <w:b/>
          <w:bCs/>
          <w:color w:themeColor="text1" w:themeTint="d9" w:val="auto"/>
          <w:sz w:val="20"/>
        </w:rPr>
      </w:pPr>
      <w:r>
        <w:rPr>
          <w:rFonts w:cs="Calibri" w:cstheme="minorHAnsi" w:ascii="Calibri" w:hAnsi="Calibri"/>
          <w:b/>
          <w:bCs/>
          <w:color w:themeColor="text1" w:themeTint="d9" w:val="auto"/>
          <w:sz w:val="20"/>
        </w:rPr>
      </w:r>
    </w:p>
    <w:tbl>
      <w:tblPr>
        <w:tblStyle w:val="Grilledutableau"/>
        <w:tblW w:w="9360" w:type="dxa"/>
        <w:jc w:val="left"/>
        <w:tblInd w:w="-37" w:type="dxa"/>
        <w:tblLayout w:type="fixed"/>
        <w:tblCellMar>
          <w:top w:w="0" w:type="dxa"/>
          <w:left w:w="108" w:type="dxa"/>
          <w:bottom w:w="0" w:type="dxa"/>
          <w:right w:w="108" w:type="dxa"/>
        </w:tblCellMar>
        <w:tblLook w:val="04a0" w:noHBand="0" w:noVBand="1" w:firstColumn="1" w:lastRow="0" w:lastColumn="0" w:firstRow="1"/>
      </w:tblPr>
      <w:tblGrid>
        <w:gridCol w:w="1887"/>
        <w:gridCol w:w="1875"/>
        <w:gridCol w:w="1863"/>
        <w:gridCol w:w="1860"/>
        <w:gridCol w:w="1875"/>
      </w:tblGrid>
      <w:tr>
        <w:trPr/>
        <w:tc>
          <w:tcPr>
            <w:tcW w:w="9360" w:type="dxa"/>
            <w:gridSpan w:val="5"/>
            <w:tcBorders>
              <w:top w:val="single" w:sz="12" w:space="0" w:color="FFFFFF"/>
              <w:left w:val="single" w:sz="12" w:space="0" w:color="FFFFFF"/>
              <w:bottom w:val="single" w:sz="12" w:space="0" w:color="FFFFFF"/>
              <w:right w:val="single" w:sz="12" w:space="0" w:color="FFFFFF"/>
            </w:tcBorders>
            <w:shd w:color="auto" w:fill="95B3D7" w:themeFill="accent1" w:themeFillTint="99" w:val="clear"/>
          </w:tcPr>
          <w:p>
            <w:pPr>
              <w:pStyle w:val="BodyText2"/>
              <w:widowControl/>
              <w:suppressAutoHyphens w:val="true"/>
              <w:spacing w:before="0" w:after="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Descriptif flotte :</w:t>
            </w:r>
          </w:p>
        </w:tc>
      </w:tr>
      <w:tr>
        <w:trPr/>
        <w:tc>
          <w:tcPr>
            <w:tcW w:w="1887"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Nombre</w:t>
            </w:r>
          </w:p>
        </w:tc>
        <w:tc>
          <w:tcPr>
            <w:tcW w:w="187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Marque</w:t>
            </w:r>
          </w:p>
        </w:tc>
        <w:tc>
          <w:tcPr>
            <w:tcW w:w="1863"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w:t>
            </w:r>
          </w:p>
        </w:tc>
        <w:tc>
          <w:tcPr>
            <w:tcW w:w="1860"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Modèle</w:t>
            </w:r>
          </w:p>
        </w:tc>
        <w:tc>
          <w:tcPr>
            <w:tcW w:w="187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Identifiant Boitier</w:t>
            </w:r>
          </w:p>
        </w:tc>
      </w:tr>
    </w:tbl>
    <w:p>
      <w:pPr>
        <w:pStyle w:val="BodyText2"/>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Détail de la flotte en liste annexe</w:t>
      </w:r>
    </w:p>
    <w:p>
      <w:pPr>
        <w:pStyle w:val="BodyText2"/>
        <w:pBdr>
          <w:bottom w:val="single" w:sz="8" w:space="1" w:color="000000" w:themeColor="dark1"/>
        </w:pBdr>
        <w:spacing w:before="120" w:after="12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 xml:space="preserve">Durée du contrat :                            </w:t>
      </w:r>
    </w:p>
    <w:p>
      <w:pPr>
        <w:pStyle w:val="BodyText2"/>
        <w:spacing w:before="120" w:after="120"/>
        <w:ind w:firstLine="708" w:left="1416"/>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p>
    <w:tbl>
      <w:tblPr>
        <w:tblW w:w="9151" w:type="dxa"/>
        <w:jc w:val="right"/>
        <w:tblInd w:w="0" w:type="dxa"/>
        <w:tblLayout w:type="fixed"/>
        <w:tblCellMar>
          <w:top w:w="0" w:type="dxa"/>
          <w:left w:w="0" w:type="dxa"/>
          <w:bottom w:w="0" w:type="dxa"/>
          <w:right w:w="0" w:type="dxa"/>
        </w:tblCellMar>
      </w:tblPr>
      <w:tblGrid>
        <w:gridCol w:w="2127"/>
        <w:gridCol w:w="2166"/>
        <w:gridCol w:w="2512"/>
        <w:gridCol w:w="2345"/>
      </w:tblGrid>
      <w:tr>
        <w:trPr>
          <w:trHeight w:val="272" w:hRule="atLeast"/>
        </w:trPr>
        <w:tc>
          <w:tcPr>
            <w:tcW w:w="2127" w:type="dxa"/>
            <w:tcBorders/>
          </w:tcPr>
          <w:p>
            <w:pPr>
              <w:pStyle w:val="BodyText2"/>
              <w:spacing w:before="120" w:after="120"/>
              <w:ind w:hanging="0" w:left="1416"/>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1 an</w:t>
            </w:r>
          </w:p>
        </w:tc>
        <w:tc>
          <w:tcPr>
            <w:tcW w:w="2166" w:type="dxa"/>
            <w:tcBorders/>
          </w:tcPr>
          <w:p>
            <w:pPr>
              <w:pStyle w:val="BodyText2"/>
              <w:spacing w:before="120" w:after="120"/>
              <w:ind w:hanging="0" w:left="1416"/>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3 ans</w:t>
            </w:r>
          </w:p>
        </w:tc>
        <w:tc>
          <w:tcPr>
            <w:tcW w:w="2512" w:type="dxa"/>
            <w:tcBorders/>
          </w:tcPr>
          <w:p>
            <w:pPr>
              <w:pStyle w:val="BodyText2"/>
              <w:spacing w:before="120" w:after="120"/>
              <w:ind w:hanging="0" w:left="1416"/>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5 ans</w:t>
            </w:r>
          </w:p>
        </w:tc>
        <w:tc>
          <w:tcPr>
            <w:tcW w:w="2345" w:type="dxa"/>
            <w:tcBorders/>
          </w:tcPr>
          <w:p>
            <w:pPr>
              <w:pStyle w:val="BodyText2"/>
              <w:spacing w:before="120" w:after="120"/>
              <w:ind w:hanging="0" w:left="1416"/>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7 ans</w:t>
            </w:r>
          </w:p>
        </w:tc>
      </w:tr>
    </w:tbl>
    <w:p>
      <w:pPr>
        <w:pStyle w:val="BodyText2"/>
        <w:spacing w:before="120" w:after="120"/>
        <w:ind w:firstLine="708" w:left="1416"/>
        <w:jc w:val="left"/>
        <w:rPr>
          <w:rFonts w:ascii="Calibri" w:hAnsi="Calibri" w:cs="Calibri" w:asciiTheme="minorHAnsi" w:cstheme="minorHAnsi" w:hAnsiTheme="minorHAnsi"/>
          <w:sz w:val="20"/>
        </w:rPr>
      </w:pPr>
      <w:r>
        <w:rPr>
          <w:rFonts w:cs="Calibri" w:cstheme="minorHAnsi" w:ascii="Calibri" w:hAnsi="Calibri"/>
          <w:sz w:val="20"/>
        </w:rPr>
      </w:r>
    </w:p>
    <w:p>
      <w:pPr>
        <w:pStyle w:val="BodyText2"/>
        <w:pBdr>
          <w:bottom w:val="single" w:sz="8" w:space="1" w:color="000000" w:themeColor="dark1"/>
        </w:pBdr>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sz w:val="20"/>
        </w:rPr>
        <w:t xml:space="preserve">Mode de Prélèvements :                                                                                                                                                                                                                                                              </w:t>
      </w:r>
    </w:p>
    <w:p>
      <w:pPr>
        <w:pStyle w:val="BodyText2"/>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p>
    <w:tbl>
      <w:tblPr>
        <w:tblW w:w="5000" w:type="pct"/>
        <w:jc w:val="left"/>
        <w:tblInd w:w="0" w:type="dxa"/>
        <w:tblLayout w:type="fixed"/>
        <w:tblCellMar>
          <w:top w:w="0" w:type="dxa"/>
          <w:left w:w="0" w:type="dxa"/>
          <w:bottom w:w="0" w:type="dxa"/>
          <w:right w:w="0" w:type="dxa"/>
        </w:tblCellMar>
      </w:tblPr>
      <w:tblGrid>
        <w:gridCol w:w="2603"/>
        <w:gridCol w:w="1139"/>
        <w:gridCol w:w="1868"/>
        <w:gridCol w:w="1871"/>
        <w:gridCol w:w="1875"/>
      </w:tblGrid>
      <w:tr>
        <w:trPr/>
        <w:tc>
          <w:tcPr>
            <w:tcW w:w="2603"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Prélèvement automatique :</w:t>
            </w:r>
          </w:p>
        </w:tc>
        <w:tc>
          <w:tcPr>
            <w:tcW w:w="1139"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8"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Annuel</w:t>
            </w:r>
          </w:p>
        </w:tc>
        <w:tc>
          <w:tcPr>
            <w:tcW w:w="1871"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Trimestriel</w:t>
            </w:r>
          </w:p>
        </w:tc>
        <w:tc>
          <w:tcPr>
            <w:tcW w:w="1875"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Semestriel</w:t>
            </w:r>
          </w:p>
        </w:tc>
      </w:tr>
      <w:tr>
        <w:trPr/>
        <w:tc>
          <w:tcPr>
            <w:tcW w:w="2603"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Cheque</w:t>
            </w:r>
          </w:p>
        </w:tc>
        <w:tc>
          <w:tcPr>
            <w:tcW w:w="1139"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8"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Annuel</w:t>
            </w:r>
          </w:p>
        </w:tc>
        <w:tc>
          <w:tcPr>
            <w:tcW w:w="1871"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Trimestriel</w:t>
            </w:r>
          </w:p>
        </w:tc>
        <w:tc>
          <w:tcPr>
            <w:tcW w:w="1875"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Semestriel</w:t>
            </w:r>
          </w:p>
        </w:tc>
      </w:tr>
      <w:tr>
        <w:trPr/>
        <w:tc>
          <w:tcPr>
            <w:tcW w:w="2603"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Virement</w:t>
            </w:r>
          </w:p>
        </w:tc>
        <w:tc>
          <w:tcPr>
            <w:tcW w:w="1139"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8"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Annuel</w:t>
            </w:r>
          </w:p>
        </w:tc>
        <w:tc>
          <w:tcPr>
            <w:tcW w:w="1871"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Trimestriel</w:t>
            </w:r>
          </w:p>
        </w:tc>
        <w:tc>
          <w:tcPr>
            <w:tcW w:w="1875"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Semestriel</w:t>
            </w:r>
          </w:p>
        </w:tc>
      </w:tr>
      <w:tr>
        <w:trPr/>
        <w:tc>
          <w:tcPr>
            <w:tcW w:w="2603"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Espèces</w:t>
            </w:r>
          </w:p>
        </w:tc>
        <w:tc>
          <w:tcPr>
            <w:tcW w:w="1139"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b/>
                <w:bCs/>
                <w:sz w:val="20"/>
              </w:rPr>
              <w:t xml:space="preserve">  </w:t>
            </w:r>
            <w:r>
              <w:rPr>
                <w:rFonts w:cs="Calibri" w:ascii="Calibri" w:hAnsi="Calibri" w:asciiTheme="minorHAnsi" w:cstheme="minorHAnsi" w:hAnsiTheme="minorHAnsi"/>
                <w:sz w:val="20"/>
              </w:rPr>
              <w:t>Mensuel</w:t>
            </w:r>
          </w:p>
        </w:tc>
        <w:tc>
          <w:tcPr>
            <w:tcW w:w="1868" w:type="dxa"/>
            <w:tcBorders/>
          </w:tcPr>
          <w:p>
            <w:pPr>
              <w:pStyle w:val="BodyText2"/>
              <w:spacing w:before="0" w:after="60"/>
              <w:jc w:val="left"/>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 </w:t>
            </w: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Annuel</w:t>
            </w:r>
          </w:p>
        </w:tc>
        <w:tc>
          <w:tcPr>
            <w:tcW w:w="1871"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Trimestriel</w:t>
            </w:r>
          </w:p>
        </w:tc>
        <w:tc>
          <w:tcPr>
            <w:tcW w:w="1875" w:type="dxa"/>
            <w:tcBorders/>
          </w:tcPr>
          <w:p>
            <w:pPr>
              <w:pStyle w:val="BodyText2"/>
              <w:spacing w:before="0" w:after="60"/>
              <w:jc w:val="left"/>
              <w:rPr>
                <w:rFonts w:ascii="Calibri" w:hAnsi="Calibri" w:cs="Calibri" w:asciiTheme="minorHAnsi" w:cstheme="minorHAnsi" w:hAnsiTheme="minorHAnsi"/>
                <w:sz w:val="20"/>
              </w:rPr>
            </w:pPr>
            <w:r>
              <w:rPr>
                <w:rFonts w:eastAsia="Wingdings" w:cs="Wingdings" w:ascii="Wingdings" w:hAnsi="Wingdings"/>
                <w:sz w:val="20"/>
              </w:rPr>
              <w:sym w:font="Wingdings" w:char="f0a8"/>
            </w:r>
            <w:r>
              <w:rPr>
                <w:rFonts w:cs="Calibri" w:ascii="Calibri" w:hAnsi="Calibri" w:asciiTheme="minorHAnsi" w:cstheme="minorHAnsi" w:hAnsiTheme="minorHAnsi"/>
                <w:sz w:val="20"/>
              </w:rPr>
              <w:t xml:space="preserve"> </w:t>
            </w:r>
            <w:r>
              <w:rPr>
                <w:rFonts w:cs="Calibri" w:ascii="Calibri" w:hAnsi="Calibri" w:asciiTheme="minorHAnsi" w:cstheme="minorHAnsi" w:hAnsiTheme="minorHAnsi"/>
                <w:sz w:val="20"/>
              </w:rPr>
              <w:t>Semestriel</w:t>
            </w:r>
          </w:p>
        </w:tc>
      </w:tr>
    </w:tbl>
    <w:p>
      <w:pPr>
        <w:pStyle w:val="BodyText2"/>
        <w:spacing w:before="0" w:after="60"/>
        <w:jc w:val="left"/>
        <w:rPr>
          <w:rFonts w:ascii="Calibri" w:hAnsi="Calibri" w:cs="Calibri" w:asciiTheme="minorHAnsi" w:cstheme="minorHAnsi" w:hAnsiTheme="minorHAnsi"/>
          <w:sz w:val="20"/>
        </w:rPr>
      </w:pPr>
      <w:r>
        <w:rPr>
          <w:rFonts w:cs="Calibri" w:cstheme="minorHAnsi" w:ascii="Calibri" w:hAnsi="Calibri"/>
          <w:sz w:val="20"/>
        </w:rPr>
      </w:r>
    </w:p>
    <w:p>
      <w:pPr>
        <w:pStyle w:val="BodyText2"/>
        <w:rPr>
          <w:rFonts w:ascii="Calibri" w:hAnsi="Calibri" w:cs="Calibri" w:asciiTheme="minorHAnsi" w:cstheme="minorHAnsi" w:hAnsiTheme="minorHAnsi"/>
          <w:sz w:val="20"/>
        </w:rPr>
      </w:pPr>
      <w:r>
        <mc:AlternateContent>
          <mc:Choice Requires="wps">
            <w:drawing>
              <wp:anchor behindDoc="1" distT="142875" distB="143510" distL="142875" distR="143510" simplePos="0" locked="0" layoutInCell="1" allowOverlap="1" relativeHeight="13" wp14:anchorId="7B573A06">
                <wp:simplePos x="0" y="0"/>
                <wp:positionH relativeFrom="column">
                  <wp:posOffset>4651375</wp:posOffset>
                </wp:positionH>
                <wp:positionV relativeFrom="paragraph">
                  <wp:posOffset>298450</wp:posOffset>
                </wp:positionV>
                <wp:extent cx="1001395" cy="1001395"/>
                <wp:effectExtent l="142875" t="142875" r="143510" b="143510"/>
                <wp:wrapNone/>
                <wp:docPr id="3" name="Image 0" descr="veoni tampon.png"/>
                <a:graphic xmlns:a="http://schemas.openxmlformats.org/drawingml/2006/main">
                  <a:graphicData uri="http://schemas.openxmlformats.org/drawingml/2006/picture">
                    <pic:pic xmlns:pic="http://schemas.openxmlformats.org/drawingml/2006/picture">
                      <pic:nvPicPr>
                        <pic:cNvPr id="4" name="Image 0" descr="veoni tampon.png"/>
                        <pic:cNvPicPr/>
                      </pic:nvPicPr>
                      <pic:blipFill>
                        <a:blip r:embed="rId2"/>
                        <a:stretch/>
                      </pic:blipFill>
                      <pic:spPr>
                        <a:xfrm rot="1222200">
                          <a:off x="0" y="0"/>
                          <a:ext cx="1001520" cy="100152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0" stroked="f" o:allowincell="f" style="position:absolute;margin-left:366.25pt;margin-top:23.5pt;width:78.8pt;height:78.8pt;mso-wrap-style:none;v-text-anchor:middle;rotation:20" wp14:anchorId="7B573A06" type="_x0000_t75">
                <v:imagedata r:id="rId3" o:detectmouseclick="t"/>
                <v:stroke color="#3465a4" joinstyle="round" endcap="flat"/>
                <w10:wrap type="none"/>
              </v:shape>
            </w:pict>
          </mc:Fallback>
        </mc:AlternateContent>
      </w:r>
      <w:r>
        <w:rPr>
          <w:rFonts w:cs="Calibri" w:ascii="Calibri" w:hAnsi="Calibri" w:asciiTheme="minorHAnsi" w:cstheme="minorHAnsi" w:hAnsiTheme="minorHAnsi"/>
          <w:sz w:val="20"/>
        </w:rPr>
        <w:t xml:space="preserve">Par la signature de ce présent contrat j’atteste avoir lu et approuvé sans réserve les conditions générales d’utilisation du service VEONI et déclare accepter toutes ces clauses </w:t>
      </w:r>
    </w:p>
    <w:p>
      <w:pPr>
        <w:pStyle w:val="BodyText2"/>
        <w:rPr>
          <w:rFonts w:ascii="Calibri" w:hAnsi="Calibri" w:cs="Calibri" w:asciiTheme="minorHAnsi" w:cstheme="minorHAnsi" w:hAnsiTheme="minorHAnsi"/>
          <w:sz w:val="20"/>
        </w:rPr>
      </w:pPr>
      <w:r>
        <w:rPr>
          <w:rFonts w:cs="Calibri" w:cstheme="minorHAnsi" w:ascii="Calibri" w:hAnsi="Calibri"/>
          <w:sz w:val="20"/>
        </w:rPr>
        <mc:AlternateContent>
          <mc:Choice Requires="wps">
            <w:drawing>
              <wp:anchor behindDoc="0" distT="5715" distB="4445" distL="5080" distR="5080" simplePos="0" locked="0" layoutInCell="1" allowOverlap="1" relativeHeight="15" wp14:anchorId="030D942E">
                <wp:simplePos x="0" y="0"/>
                <wp:positionH relativeFrom="column">
                  <wp:posOffset>2484755</wp:posOffset>
                </wp:positionH>
                <wp:positionV relativeFrom="paragraph">
                  <wp:posOffset>10160</wp:posOffset>
                </wp:positionV>
                <wp:extent cx="1664970" cy="746125"/>
                <wp:effectExtent l="5080" t="5715" r="5080" b="4445"/>
                <wp:wrapNone/>
                <wp:docPr id="5" name="Rectangle 3"/>
                <a:graphic xmlns:a="http://schemas.openxmlformats.org/drawingml/2006/main">
                  <a:graphicData uri="http://schemas.microsoft.com/office/word/2010/wordprocessingShape">
                    <wps:wsp>
                      <wps:cNvSpPr/>
                      <wps:spPr>
                        <a:xfrm>
                          <a:off x="0" y="0"/>
                          <a:ext cx="1665000" cy="746280"/>
                        </a:xfrm>
                        <a:prstGeom prst="rect">
                          <a:avLst/>
                        </a:prstGeom>
                        <a:solidFill>
                          <a:srgbClr val="ffffff"/>
                        </a:solidFill>
                        <a:ln w="9525">
                          <a:solidFill>
                            <a:srgbClr val="000000"/>
                          </a:solidFill>
                          <a:miter/>
                        </a:ln>
                      </wps:spPr>
                      <wps:style>
                        <a:lnRef idx="0"/>
                        <a:fillRef idx="0"/>
                        <a:effectRef idx="0"/>
                        <a:fontRef idx="minor"/>
                      </wps:style>
                      <wps:txbx>
                        <w:txbxContent>
                          <w:p>
                            <w:pPr>
                              <w:pStyle w:val="FrameContents"/>
                              <w:rPr>
                                <w:sz w:val="14"/>
                                <w:szCs w:val="14"/>
                              </w:rPr>
                            </w:pPr>
                            <w:r>
                              <w:rPr>
                                <w:color w:themeColor="text1" w:themeTint="d9" w:val="262626"/>
                                <w:sz w:val="14"/>
                                <w:szCs w:val="14"/>
                              </w:rPr>
                              <w:t>Le client</w:t>
                            </w:r>
                          </w:p>
                        </w:txbxContent>
                      </wps:txbx>
                      <wps:bodyPr anchor="t" upright="1">
                        <a:noAutofit/>
                      </wps:bodyPr>
                    </wps:wsp>
                  </a:graphicData>
                </a:graphic>
              </wp:anchor>
            </w:drawing>
          </mc:Choice>
          <mc:Fallback>
            <w:pict>
              <v:rect id="shape_0" ID="Rectangle 3" path="m0,0l-2147483645,0l-2147483645,-2147483646l0,-2147483646xe" fillcolor="white" stroked="t" o:allowincell="f" style="position:absolute;margin-left:195.65pt;margin-top:0.8pt;width:131.05pt;height:58.7pt;mso-wrap-style:square;v-text-anchor:top" wp14:anchorId="030D942E">
                <v:fill o:detectmouseclick="t" type="solid" color2="black"/>
                <v:stroke color="black" weight="9360" joinstyle="miter" endcap="flat"/>
                <v:textbox>
                  <w:txbxContent>
                    <w:p>
                      <w:pPr>
                        <w:pStyle w:val="FrameContents"/>
                        <w:rPr>
                          <w:sz w:val="14"/>
                          <w:szCs w:val="14"/>
                        </w:rPr>
                      </w:pPr>
                      <w:r>
                        <w:rPr>
                          <w:color w:themeColor="text1" w:themeTint="d9" w:val="262626"/>
                          <w:sz w:val="14"/>
                          <w:szCs w:val="14"/>
                        </w:rPr>
                        <w:t>Le client</w:t>
                      </w:r>
                    </w:p>
                  </w:txbxContent>
                </v:textbox>
                <w10:wrap type="none"/>
              </v:rect>
            </w:pict>
          </mc:Fallback>
        </mc:AlternateContent>
        <mc:AlternateContent>
          <mc:Choice Requires="wps">
            <w:drawing>
              <wp:anchor behindDoc="0" distT="5715" distB="4445" distL="5715" distR="4445" simplePos="0" locked="0" layoutInCell="1" allowOverlap="1" relativeHeight="17" wp14:anchorId="3AFA5751">
                <wp:simplePos x="0" y="0"/>
                <wp:positionH relativeFrom="column">
                  <wp:posOffset>4306570</wp:posOffset>
                </wp:positionH>
                <wp:positionV relativeFrom="paragraph">
                  <wp:posOffset>3175</wp:posOffset>
                </wp:positionV>
                <wp:extent cx="1591945" cy="746125"/>
                <wp:effectExtent l="5715" t="5715" r="4445" b="4445"/>
                <wp:wrapNone/>
                <wp:docPr id="6" name="Rectangle 4"/>
                <a:graphic xmlns:a="http://schemas.openxmlformats.org/drawingml/2006/main">
                  <a:graphicData uri="http://schemas.microsoft.com/office/word/2010/wordprocessingShape">
                    <wps:wsp>
                      <wps:cNvSpPr/>
                      <wps:spPr>
                        <a:xfrm>
                          <a:off x="0" y="0"/>
                          <a:ext cx="1591920" cy="746280"/>
                        </a:xfrm>
                        <a:prstGeom prst="rect">
                          <a:avLst/>
                        </a:prstGeom>
                        <a:noFill/>
                        <a:ln w="9525">
                          <a:solidFill>
                            <a:srgbClr val="000000"/>
                          </a:solidFill>
                          <a:miter/>
                        </a:ln>
                      </wps:spPr>
                      <wps:style>
                        <a:lnRef idx="0"/>
                        <a:fillRef idx="0"/>
                        <a:effectRef idx="0"/>
                        <a:fontRef idx="minor"/>
                      </wps:style>
                      <wps:txbx>
                        <w:txbxContent>
                          <w:p>
                            <w:pPr>
                              <w:pStyle w:val="FrameContents"/>
                              <w:rPr>
                                <w:sz w:val="14"/>
                                <w:szCs w:val="14"/>
                              </w:rPr>
                            </w:pPr>
                            <w:r>
                              <w:rPr>
                                <w:color w:themeColor="text1" w:themeTint="d9" w:val="262626"/>
                                <w:sz w:val="14"/>
                                <w:szCs w:val="14"/>
                              </w:rPr>
                              <w:t>Le Prestataire</w:t>
                            </w:r>
                          </w:p>
                        </w:txbxContent>
                      </wps:txbx>
                      <wps:bodyPr anchor="t" upright="1">
                        <a:noAutofit/>
                      </wps:bodyPr>
                    </wps:wsp>
                  </a:graphicData>
                </a:graphic>
              </wp:anchor>
            </w:drawing>
          </mc:Choice>
          <mc:Fallback>
            <w:pict>
              <v:rect id="shape_0" ID="Rectangle 4" path="m0,0l-2147483645,0l-2147483645,-2147483646l0,-2147483646xe" stroked="t" o:allowincell="f" style="position:absolute;margin-left:339.1pt;margin-top:0.25pt;width:125.3pt;height:58.7pt;mso-wrap-style:square;v-text-anchor:top" wp14:anchorId="3AFA5751">
                <v:fill o:detectmouseclick="t" on="false"/>
                <v:stroke color="black" weight="9360" joinstyle="miter" endcap="flat"/>
                <v:textbox>
                  <w:txbxContent>
                    <w:p>
                      <w:pPr>
                        <w:pStyle w:val="FrameContents"/>
                        <w:rPr>
                          <w:sz w:val="14"/>
                          <w:szCs w:val="14"/>
                        </w:rPr>
                      </w:pPr>
                      <w:r>
                        <w:rPr>
                          <w:color w:themeColor="text1" w:themeTint="d9" w:val="262626"/>
                          <w:sz w:val="14"/>
                          <w:szCs w:val="14"/>
                        </w:rPr>
                        <w:t>Le Prestataire</w:t>
                      </w:r>
                    </w:p>
                  </w:txbxContent>
                </v:textbox>
                <w10:wrap type="none"/>
              </v:rect>
            </w:pict>
          </mc:Fallback>
        </mc:AlternateContent>
      </w:r>
    </w:p>
    <w:p>
      <w:pPr>
        <w:pStyle w:val="Normal"/>
        <w:rPr>
          <w:rFonts w:ascii="Book Antiqua" w:hAnsi="Book Antiqua"/>
          <w:sz w:val="18"/>
          <w:szCs w:val="18"/>
        </w:rPr>
      </w:pPr>
      <w:r>
        <w:rPr>
          <w:rFonts w:cs="Calibri" w:ascii="Calibri" w:hAnsi="Calibri" w:asciiTheme="minorHAnsi" w:cstheme="minorHAnsi" w:hAnsiTheme="minorHAnsi"/>
          <w:b/>
          <w:bCs/>
          <w:sz w:val="16"/>
          <w:szCs w:val="16"/>
        </w:rPr>
        <w:t xml:space="preserve">Fait à Tunis : </w:t>
      </w:r>
      <w:r>
        <w:rPr>
          <w:rFonts w:ascii="Book Antiqua" w:hAnsi="Book Antiqua"/>
          <w:sz w:val="18"/>
          <w:szCs w:val="18"/>
        </w:rPr>
        <w:t xml:space="preserve">…………. </w:t>
      </w:r>
      <w:r>
        <w:rPr>
          <w:rFonts w:cs="Calibri" w:ascii="Calibri" w:hAnsi="Calibri" w:asciiTheme="minorHAnsi" w:cstheme="minorHAnsi" w:hAnsiTheme="minorHAnsi"/>
          <w:b/>
          <w:bCs/>
          <w:sz w:val="16"/>
          <w:szCs w:val="16"/>
        </w:rPr>
        <w:t>Le :</w:t>
      </w:r>
      <w:r>
        <w:rPr>
          <w:rFonts w:ascii="Book Antiqua" w:hAnsi="Book Antiqua"/>
          <w:sz w:val="18"/>
          <w:szCs w:val="18"/>
        </w:rPr>
        <w:t xml:space="preserve"> ……………… </w:t>
      </w:r>
    </w:p>
    <w:p>
      <w:pPr>
        <w:pStyle w:val="Normal"/>
        <w:rPr/>
      </w:pPr>
      <w:r>
        <w:rPr/>
      </w:r>
    </w:p>
    <w:p>
      <w:pPr>
        <w:pStyle w:val="BodyText2"/>
        <w:jc w:val="left"/>
        <w:rPr>
          <w:rFonts w:ascii="Book Antiqua" w:hAnsi="Book Antiqua"/>
          <w:sz w:val="18"/>
          <w:szCs w:val="18"/>
        </w:rPr>
      </w:pPr>
      <w:r>
        <w:rPr>
          <w:rFonts w:ascii="Book Antiqua" w:hAnsi="Book Antiqua"/>
          <w:sz w:val="18"/>
          <w:szCs w:val="18"/>
        </w:rPr>
        <w:t xml:space="preserve">  </w:t>
      </w:r>
    </w:p>
    <w:p>
      <w:pPr>
        <w:pStyle w:val="BodyText2"/>
        <w:jc w:val="left"/>
        <w:rPr>
          <w:rFonts w:ascii="Book Antiqua" w:hAnsi="Book Antiqua"/>
          <w:sz w:val="18"/>
          <w:szCs w:val="18"/>
        </w:rPr>
      </w:pPr>
      <w:r>
        <w:rPr>
          <w:rFonts w:ascii="Book Antiqua" w:hAnsi="Book Antiqua"/>
          <w:sz w:val="18"/>
          <w:szCs w:val="18"/>
        </w:rPr>
        <w:t xml:space="preserve">                                               </w:t>
      </w:r>
    </w:p>
    <w:p>
      <w:pPr>
        <w:pStyle w:val="BodyText2"/>
        <w:ind w:hanging="1134" w:left="1134"/>
        <w:jc w:val="left"/>
        <w:rPr>
          <w:rFonts w:ascii="Book Antiqua" w:hAnsi="Book Antiqua"/>
          <w:sz w:val="14"/>
          <w:szCs w:val="14"/>
        </w:rPr>
      </w:pPr>
      <w:r>
        <w:rPr>
          <w:rFonts w:ascii="Book Antiqua" w:hAnsi="Book Antiqua"/>
          <w:b/>
          <w:bCs/>
          <w:sz w:val="14"/>
          <w:szCs w:val="14"/>
        </w:rPr>
        <w:t>Pièces à joindre</w:t>
      </w:r>
      <w:r>
        <w:rPr>
          <w:rFonts w:ascii="Book Antiqua" w:hAnsi="Book Antiqua"/>
          <w:sz w:val="14"/>
          <w:szCs w:val="14"/>
        </w:rPr>
        <w:t> :   copie CIN du mandataire social (ou du titulaire), copie du matricule fiscal, copie registre de commerce &lt;3mois, liste des identifiants Des véhicules, caution, RNE moins de 3 mois</w:t>
      </w:r>
    </w:p>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17" w:right="1133" w:gutter="0" w:header="279" w:top="567" w:footer="401" w:bottom="458"/>
          <w:pgNumType w:fmt="decimal"/>
          <w:formProt w:val="false"/>
          <w:textDirection w:val="lrTb"/>
          <w:docGrid w:type="default" w:linePitch="360" w:charSpace="0"/>
        </w:sectPr>
      </w:pPr>
    </w:p>
    <w:p>
      <w:pPr>
        <w:pStyle w:val="BodyText2"/>
        <w:ind w:right="68"/>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 : SUPRREMATIE </w:t>
      </w:r>
    </w:p>
    <w:p>
      <w:pPr>
        <w:pStyle w:val="BodyText2"/>
        <w:ind w:right="70"/>
        <w:rPr>
          <w:rFonts w:cs="" w:asciiTheme="majorBidi" w:cstheme="majorBidi" w:hAnsiTheme="majorBidi"/>
          <w:sz w:val="15"/>
          <w:szCs w:val="15"/>
        </w:rPr>
      </w:pPr>
      <w:r>
        <w:rPr>
          <w:rFonts w:cs="" w:cstheme="majorBidi"/>
          <w:sz w:val="15"/>
          <w:szCs w:val="15"/>
        </w:rPr>
        <w:t xml:space="preserve">Les présentes conditions constituent avec les conditions Particulières au contrat d’abonnement les seules clauses déterminantes de l’accord entre le client et </w:t>
      </w:r>
      <w:r>
        <w:rPr>
          <w:rFonts w:cs="" w:cstheme="majorBidi"/>
          <w:color w:themeColor="text1" w:themeTint="d9" w:val="auto"/>
          <w:sz w:val="15"/>
          <w:szCs w:val="15"/>
        </w:rPr>
        <w:t>VEONI dont la signature par le client implique obligatoirement son acceptation de l’intégralité, et sans restriction aucunes et de manière irrévocable des clauses et conditions inscrites au présent.</w:t>
      </w:r>
      <w:r>
        <w:rPr>
          <w:rFonts w:cs="" w:cstheme="majorBidi"/>
          <w:sz w:val="15"/>
          <w:szCs w:val="15"/>
        </w:rPr>
        <w:t xml:space="preserve"> </w:t>
      </w:r>
    </w:p>
    <w:p>
      <w:pPr>
        <w:pStyle w:val="BodyText2"/>
        <w:ind w:right="68"/>
        <w:rPr>
          <w:rFonts w:cs="" w:asciiTheme="majorBidi" w:cstheme="majorBidi" w:hAnsiTheme="majorBidi"/>
          <w:color w:themeColor="text2" w:themeShade="bf" w:val="17365D"/>
          <w:sz w:val="15"/>
          <w:szCs w:val="15"/>
        </w:rPr>
      </w:pPr>
      <w:r>
        <w:rPr>
          <w:rFonts w:cs="" w:cstheme="majorBidi"/>
          <w:b/>
          <w:bCs/>
          <w:color w:themeColor="text2" w:themeShade="bf" w:val="17365D"/>
          <w:sz w:val="15"/>
          <w:szCs w:val="15"/>
        </w:rPr>
        <w:t>ARTICLE 2 : CONFIDENTIALITE</w:t>
      </w:r>
      <w:r>
        <w:rPr>
          <w:rFonts w:cs="" w:cstheme="majorBidi"/>
          <w:color w:themeColor="text2" w:themeShade="bf" w:val="17365D"/>
          <w:sz w:val="15"/>
          <w:szCs w:val="15"/>
        </w:rPr>
        <w:t xml:space="preserve"> </w:t>
      </w:r>
    </w:p>
    <w:p>
      <w:pPr>
        <w:pStyle w:val="BodyText2"/>
        <w:ind w:right="70"/>
        <w:rPr>
          <w:rFonts w:cs="" w:asciiTheme="majorBidi" w:cstheme="majorBidi" w:hAnsiTheme="majorBidi"/>
          <w:sz w:val="15"/>
          <w:szCs w:val="15"/>
        </w:rPr>
      </w:pPr>
      <w:r>
        <w:rPr>
          <w:rFonts w:cs="" w:cstheme="majorBidi"/>
          <w:sz w:val="15"/>
          <w:szCs w:val="15"/>
        </w:rPr>
        <w:t xml:space="preserve">Conformément à la législation en vigueur, VEONI s’engage et consent </w:t>
      </w:r>
      <w:r>
        <w:rPr>
          <w:rFonts w:cs="" w:cstheme="majorBidi"/>
          <w:color w:themeColor="text1" w:themeTint="d9" w:val="auto"/>
          <w:sz w:val="15"/>
          <w:szCs w:val="15"/>
        </w:rPr>
        <w:t>irrévocablement à garantir la totale confidentialité, des informations relatives aux mouvements de la flotte du client et de manière générale du flux de données numériques relatives au client et à considérer celles-ci comme informations strictement confidentielles et personnelles. Aucune divulgation de ces informations ou consultation de celles-ci par aucune personne tierce, de quelque nature que cela soit, ne sera consentie, autres que dans le cadre express de la règlementation en vigueur.</w:t>
      </w:r>
    </w:p>
    <w:p>
      <w:pPr>
        <w:pStyle w:val="BodyText2"/>
        <w:ind w:right="70"/>
        <w:rPr>
          <w:rFonts w:cs="" w:asciiTheme="majorBidi" w:cstheme="majorBidi" w:hAnsiTheme="majorBidi"/>
          <w:color w:themeColor="text2" w:themeShade="bf" w:val="17365D"/>
          <w:sz w:val="15"/>
          <w:szCs w:val="15"/>
        </w:rPr>
      </w:pPr>
      <w:r>
        <w:rPr>
          <w:rFonts w:cs="" w:cstheme="majorBidi"/>
          <w:b/>
          <w:bCs/>
          <w:color w:themeColor="text2" w:themeShade="bf" w:val="17365D"/>
          <w:sz w:val="15"/>
          <w:szCs w:val="15"/>
        </w:rPr>
        <w:t>ARTICLE 3</w:t>
      </w:r>
      <w:r>
        <w:rPr>
          <w:rFonts w:cs="" w:cstheme="majorBidi"/>
          <w:b/>
          <w:bCs/>
          <w:color w:themeColor="text2" w:themeShade="bf" w:val="17365D"/>
          <w:sz w:val="15"/>
          <w:szCs w:val="15"/>
          <w:u w:val="single"/>
        </w:rPr>
        <w:t> </w:t>
      </w:r>
      <w:r>
        <w:rPr>
          <w:rFonts w:cs="" w:cstheme="majorBidi"/>
          <w:b/>
          <w:bCs/>
          <w:color w:themeColor="text2" w:themeShade="bf" w:val="17365D"/>
          <w:sz w:val="15"/>
          <w:szCs w:val="15"/>
        </w:rPr>
        <w:t>: SECURITES &amp; ACCES</w:t>
      </w:r>
    </w:p>
    <w:p>
      <w:pPr>
        <w:pStyle w:val="BodyText2"/>
        <w:ind w:right="1"/>
        <w:rPr>
          <w:rFonts w:cs="" w:asciiTheme="majorBidi" w:cstheme="majorBidi" w:hAnsiTheme="majorBidi"/>
          <w:color w:themeColor="text1" w:themeTint="d9" w:val="auto"/>
          <w:sz w:val="15"/>
          <w:szCs w:val="15"/>
        </w:rPr>
      </w:pPr>
      <w:r>
        <w:rPr>
          <w:rFonts w:cs="" w:cstheme="majorBidi"/>
          <w:b/>
          <w:bCs/>
          <w:sz w:val="15"/>
          <w:szCs w:val="15"/>
        </w:rPr>
        <w:t>3.1</w:t>
      </w:r>
      <w:r>
        <w:rPr>
          <w:rFonts w:cs="" w:cstheme="majorBidi"/>
          <w:sz w:val="15"/>
          <w:szCs w:val="15"/>
        </w:rPr>
        <w:t xml:space="preserve"> Le droit d’accès accordé au client par son abonnement est strictement personnel. De ce fait, à chaque client est attribué un identifiant et un mot de passe lui </w:t>
      </w:r>
      <w:r>
        <w:rPr>
          <w:rFonts w:cs="" w:cstheme="majorBidi"/>
          <w:color w:themeColor="text1" w:themeTint="d9" w:val="auto"/>
          <w:sz w:val="15"/>
          <w:szCs w:val="15"/>
        </w:rPr>
        <w:t xml:space="preserve">permettant de se connecter au site ou accéder aux services VEONI. </w:t>
      </w:r>
    </w:p>
    <w:p>
      <w:pPr>
        <w:pStyle w:val="BodyText2"/>
        <w:ind w:right="1"/>
        <w:rPr>
          <w:rFonts w:cs="" w:asciiTheme="majorBidi" w:cstheme="majorBidi" w:hAnsiTheme="majorBidi"/>
          <w:strike/>
          <w:color w:themeColor="text1" w:themeTint="d9" w:val="auto"/>
          <w:sz w:val="15"/>
          <w:szCs w:val="15"/>
        </w:rPr>
      </w:pPr>
      <w:r>
        <w:rPr>
          <w:rFonts w:cs="" w:cstheme="majorBidi"/>
          <w:b/>
          <w:bCs/>
          <w:color w:themeColor="text1" w:themeTint="d9" w:val="auto"/>
          <w:sz w:val="15"/>
          <w:szCs w:val="15"/>
        </w:rPr>
        <w:t>3.2</w:t>
      </w:r>
      <w:r>
        <w:rPr>
          <w:rFonts w:cs="" w:cstheme="majorBidi"/>
          <w:color w:themeColor="text1" w:themeTint="d9" w:val="auto"/>
          <w:sz w:val="15"/>
          <w:szCs w:val="15"/>
        </w:rPr>
        <w:t xml:space="preserve"> L’identifiant et le mot de passe confiés au client sont confidentiels. Le client est donc le seul responsable de leur utilisation non autorisée ou de leur détournement. Le client s’engage à se prémunir contre ces éventualités, le client pourra lors de son accès au service et à tout moment changer son identifiant et son code confidentiel.</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3.3</w:t>
      </w:r>
      <w:r>
        <w:rPr>
          <w:rFonts w:cs="" w:cstheme="majorBidi"/>
          <w:color w:themeColor="text1" w:themeTint="d9" w:val="auto"/>
          <w:sz w:val="15"/>
          <w:szCs w:val="15"/>
        </w:rPr>
        <w:t xml:space="preserve"> VEONI ne peut être tenue pour responsable de la perte ou d’un usage abus de l’identifiant et/ou du code confidentiel, dont la sauvegarde et l’utilisation sont de la seule et unique responsabilité du client.</w:t>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4 : ENTREE EN VIGUEUR </w:t>
      </w:r>
    </w:p>
    <w:p>
      <w:pPr>
        <w:pStyle w:val="BodyText2"/>
        <w:ind w:right="70"/>
        <w:rPr>
          <w:rFonts w:cs="" w:asciiTheme="majorBidi" w:cstheme="majorBidi" w:hAnsiTheme="majorBidi"/>
          <w:color w:themeColor="text1" w:themeTint="d9" w:val="auto"/>
          <w:sz w:val="15"/>
          <w:szCs w:val="15"/>
        </w:rPr>
      </w:pPr>
      <w:r>
        <w:rPr>
          <w:rFonts w:cs="" w:cstheme="majorBidi"/>
          <w:color w:themeColor="text1" w:themeTint="d9" w:val="auto"/>
          <w:sz w:val="15"/>
          <w:szCs w:val="15"/>
        </w:rPr>
        <w:t>La signature par le client du contrat d’abonnement et la réception par VEONI du règlement y afférent, suivant les modalités de paiements convenues au contrat, engagent l’entrée en vigueur du présent. Les prestations de services objets du présent, prennent effet dés l’installation des équipements.</w:t>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5 : DUREE DE CONTRAT</w:t>
      </w:r>
    </w:p>
    <w:p>
      <w:pPr>
        <w:pStyle w:val="BodyText2"/>
        <w:ind w:right="70"/>
        <w:rPr>
          <w:rFonts w:cs="" w:asciiTheme="majorBidi" w:cstheme="majorBidi" w:hAnsiTheme="majorBidi"/>
          <w:sz w:val="15"/>
          <w:szCs w:val="15"/>
        </w:rPr>
      </w:pPr>
      <w:r>
        <w:rPr>
          <w:rFonts w:cs="" w:cstheme="majorBidi"/>
          <w:color w:themeColor="text1" w:themeTint="d9" w:val="auto"/>
          <w:sz w:val="15"/>
          <w:szCs w:val="15"/>
        </w:rPr>
        <w:t>L’application des dispositions du présent, s’entend selon la durée de l’abonnement choisi par le client telle que mentionnée dans le contrat et à compter de la date de mise en service. Le contrat est prorogé par</w:t>
      </w:r>
      <w:r>
        <w:rPr>
          <w:rFonts w:cs="" w:cstheme="majorBidi"/>
          <w:sz w:val="15"/>
          <w:szCs w:val="15"/>
        </w:rPr>
        <w:t xml:space="preserve"> tacite reconduction pour la même période que la période contractuelle initiale, sauf demande de rupture notifiée par l’une des deux parties </w:t>
      </w:r>
      <w:r>
        <w:rPr>
          <w:rFonts w:cs="" w:cstheme="majorBidi"/>
          <w:color w:themeColor="text1" w:themeTint="d9" w:val="auto"/>
          <w:sz w:val="15"/>
          <w:szCs w:val="15"/>
        </w:rPr>
        <w:t>et signifiée</w:t>
      </w:r>
      <w:r>
        <w:rPr>
          <w:rFonts w:cs="" w:cstheme="majorBidi"/>
          <w:sz w:val="15"/>
          <w:szCs w:val="15"/>
        </w:rPr>
        <w:t xml:space="preserve"> par lettre recommandée avec accusé de </w:t>
      </w:r>
      <w:r>
        <w:rPr>
          <w:rFonts w:cs="" w:cstheme="majorBidi"/>
          <w:color w:themeColor="text1" w:themeTint="d9" w:val="auto"/>
          <w:sz w:val="15"/>
          <w:szCs w:val="15"/>
        </w:rPr>
        <w:t>réception au moins 30 jours avant échéance du terme d’abonnement ou résiliation par VEONI dans les conditions stipulées à l`article 6. En tout état de cause</w:t>
      </w:r>
      <w:r>
        <w:rPr>
          <w:rFonts w:cs="" w:cstheme="majorBidi"/>
          <w:strike/>
          <w:color w:themeColor="text1" w:themeTint="d9" w:val="auto"/>
          <w:sz w:val="15"/>
          <w:szCs w:val="15"/>
        </w:rPr>
        <w:t>s</w:t>
      </w:r>
      <w:r>
        <w:rPr>
          <w:rFonts w:cs="" w:cstheme="majorBidi"/>
          <w:color w:themeColor="text1" w:themeTint="d9" w:val="auto"/>
          <w:sz w:val="15"/>
          <w:szCs w:val="15"/>
        </w:rPr>
        <w:t>, la durée minimale de contrat ne peut être inférieure à une année.</w:t>
      </w:r>
    </w:p>
    <w:p>
      <w:pPr>
        <w:pStyle w:val="BodyText2"/>
        <w:ind w:right="70"/>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6 : RESILIATION DU CONTRAT – TERMINAISON</w:t>
      </w:r>
      <w:r>
        <w:rPr>
          <w:rFonts w:cs="" w:cstheme="majorBidi"/>
          <w:b/>
          <w:bCs/>
          <w:color w:themeColor="text1" w:themeTint="d9" w:val="FF0000"/>
          <w:sz w:val="15"/>
          <w:szCs w:val="15"/>
        </w:rPr>
        <w:t xml:space="preserve">  </w:t>
      </w:r>
    </w:p>
    <w:p>
      <w:pPr>
        <w:pStyle w:val="BodyText2"/>
        <w:ind w:right="70"/>
        <w:rPr>
          <w:rFonts w:cs="" w:asciiTheme="majorBidi" w:cstheme="majorBidi" w:hAnsiTheme="majorBidi"/>
          <w:b/>
          <w:bCs/>
          <w:vanish/>
          <w:color w:themeColor="text1" w:themeTint="d9" w:val="auto"/>
          <w:sz w:val="15"/>
          <w:szCs w:val="15"/>
        </w:rPr>
      </w:pPr>
      <w:r>
        <w:rPr>
          <w:rFonts w:cs="" w:cstheme="majorBidi"/>
          <w:b/>
          <w:bCs/>
          <w:color w:themeColor="text1" w:themeTint="d9" w:val="auto"/>
          <w:sz w:val="15"/>
          <w:szCs w:val="15"/>
        </w:rPr>
        <w:t xml:space="preserve">6-1 </w:t>
      </w:r>
    </w:p>
    <w:p>
      <w:pPr>
        <w:pStyle w:val="BodyText2"/>
        <w:ind w:right="70"/>
        <w:rPr>
          <w:rFonts w:cs="" w:asciiTheme="majorBidi" w:cstheme="majorBidi" w:hAnsiTheme="majorBidi"/>
          <w:b/>
          <w:bCs/>
          <w:color w:themeColor="text1" w:themeTint="d9" w:val="auto"/>
          <w:sz w:val="15"/>
          <w:szCs w:val="15"/>
        </w:rPr>
      </w:pPr>
      <w:r>
        <w:rPr>
          <w:rFonts w:cs="" w:cstheme="majorBidi"/>
          <w:color w:themeColor="text1" w:themeTint="d9" w:val="auto"/>
          <w:sz w:val="15"/>
          <w:szCs w:val="15"/>
        </w:rPr>
        <w:t>Le contrat d’abonnement ne peut prendre fin avant expiration de sa durée prévue. Toutefois et nonobstant ce qui précède, VEONI se réserve le droit de le résilier sans préavis suite à la survenue de dégâts imputables au client et dérivant des pratiques en contradiction avec les bonnes mœurs et la réglementation en vigueur, portant ainsi préjudice aux tiers et/ou à l’ordre public, du non-respect d’une clause du contrat d’abonnement telle que les délais de paiement des frais dus à VEONI au titre des prestations de services tel que prévu</w:t>
      </w:r>
      <w:r>
        <w:rPr>
          <w:rFonts w:cs="" w:cstheme="majorBidi"/>
          <w:strike/>
          <w:color w:themeColor="text1" w:themeTint="d9" w:val="auto"/>
          <w:sz w:val="15"/>
          <w:szCs w:val="15"/>
        </w:rPr>
        <w:t>s</w:t>
      </w:r>
      <w:r>
        <w:rPr>
          <w:rFonts w:cs="" w:cstheme="majorBidi"/>
          <w:color w:themeColor="text1" w:themeTint="d9" w:val="auto"/>
          <w:sz w:val="15"/>
          <w:szCs w:val="15"/>
        </w:rPr>
        <w:t xml:space="preserve"> au présent ou au défaut de paiement des sommes facturées et dues par le client relatives aux services prévus par le présent. Dans ce cas, Le client demeure redevable sans qu’il ne puisse s’y soustraire de manière aucune, au profit de VEONI du reste des prestations prévue jusqu’aux termes contractuels prévus.</w:t>
      </w:r>
    </w:p>
    <w:p>
      <w:pPr>
        <w:pStyle w:val="BodyText2"/>
        <w:ind w:right="70"/>
        <w:rPr>
          <w:rFonts w:cs="" w:asciiTheme="majorBidi" w:cstheme="majorBidi" w:hAnsiTheme="majorBidi"/>
          <w:b/>
          <w:bCs/>
          <w:sz w:val="15"/>
          <w:szCs w:val="15"/>
        </w:rPr>
      </w:pPr>
      <w:r>
        <w:rPr>
          <w:rFonts w:cs="" w:cstheme="majorBidi"/>
          <w:b/>
          <w:bCs/>
          <w:sz w:val="15"/>
          <w:szCs w:val="15"/>
        </w:rPr>
        <w:t xml:space="preserve">6-2 Résiliation sur demande du client </w:t>
      </w:r>
    </w:p>
    <w:p>
      <w:pPr>
        <w:pStyle w:val="Normal"/>
        <w:jc w:val="both"/>
        <w:rPr>
          <w:sz w:val="15"/>
          <w:szCs w:val="15"/>
        </w:rPr>
      </w:pPr>
      <w:r>
        <w:rPr>
          <w:sz w:val="15"/>
          <w:szCs w:val="15"/>
        </w:rPr>
        <w:t xml:space="preserve">En cas de demande de résiliation unilatérale par le client avant terme, des services et prestations fournies par VEONI, celle-ci, doit être formulée par écrit 60 jours avant la date d’effet de ladite résiliation. En tout état de cause, le client demeure redevable des montants dus pour le reste de la durée contractuelle initiale. </w:t>
      </w:r>
    </w:p>
    <w:p>
      <w:pPr>
        <w:pStyle w:val="BodyText2"/>
        <w:ind w:right="1"/>
        <w:rPr>
          <w:rFonts w:cs="" w:asciiTheme="majorBidi" w:cstheme="majorBidi" w:hAnsiTheme="majorBidi"/>
          <w:b/>
          <w:bCs/>
          <w:color w:themeColor="text1" w:themeTint="d9" w:val="auto"/>
          <w:sz w:val="15"/>
          <w:szCs w:val="15"/>
        </w:rPr>
      </w:pPr>
      <w:r>
        <w:rPr>
          <w:rFonts w:cs="" w:cstheme="majorBidi"/>
          <w:b/>
          <w:bCs/>
          <w:color w:themeColor="text1" w:themeTint="d9" w:val="auto"/>
          <w:sz w:val="15"/>
          <w:szCs w:val="15"/>
        </w:rPr>
        <w:t>6-3 Résiliation par VEONI</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La résiliation du présent par VEONI est réputée automatique sans que le client ne puisse se soustraire, s’y opposer ou le contester de manière aucune en cas d’impayés ayant dépassés 20 jours de l’échéance de paiement prévue par le présent. Dans ce cas le client demeure redevable à VEONI du paiement des frais dus jusqu’aux termes contractuels du présent, ainsi que des pénalités et autres frais de retard et de rupture.</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7 : CONDITION DE MISE A DISPOSTION DES EQUIPEMENTS </w:t>
      </w:r>
    </w:p>
    <w:p>
      <w:pPr>
        <w:pStyle w:val="BodyText2"/>
        <w:ind w:right="1"/>
        <w:rPr>
          <w:rFonts w:cs="" w:asciiTheme="majorBidi" w:cstheme="majorBidi" w:hAnsiTheme="majorBidi"/>
          <w:color w:themeColor="text1" w:themeTint="d9" w:val="FF0000"/>
          <w:sz w:val="15"/>
          <w:szCs w:val="15"/>
        </w:rPr>
      </w:pPr>
      <w:r>
        <w:rPr>
          <w:rFonts w:cs="" w:cstheme="majorBidi"/>
          <w:sz w:val="15"/>
          <w:szCs w:val="15"/>
        </w:rPr>
        <w:t xml:space="preserve">Il est formellement interdit de céder, sous louer, transformer, transférer ou prêter tout </w:t>
      </w:r>
      <w:r>
        <w:rPr>
          <w:rFonts w:cs="" w:cstheme="majorBidi"/>
          <w:color w:themeColor="text1" w:themeTint="d9" w:val="auto"/>
          <w:sz w:val="15"/>
          <w:szCs w:val="15"/>
        </w:rPr>
        <w:t>équipement propriété de VEONI sous quelque forme que ce soit. L’équipement est de l’unique propriété de VEONI.</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7.1</w:t>
      </w:r>
      <w:r>
        <w:rPr>
          <w:rFonts w:cs="" w:cstheme="majorBidi"/>
          <w:color w:themeColor="text1" w:themeTint="d9" w:val="auto"/>
          <w:sz w:val="15"/>
          <w:szCs w:val="15"/>
        </w:rPr>
        <w:t xml:space="preserve"> En cas de résiliation du contrat dans les conditions des articles 5 et 6, le client s’engage à restituer à VEONI l’équipement mis à sa disposition en bon état ou de payer sa valeur. La récupération de l’équipement ou de sa valeur par VEONI est une condition nécessaire et préalable à toute résiliation du contrat. </w:t>
      </w:r>
    </w:p>
    <w:p>
      <w:pPr>
        <w:pStyle w:val="BodyText2"/>
        <w:ind w:right="1"/>
        <w:rPr>
          <w:rFonts w:cs="" w:asciiTheme="majorBidi" w:cstheme="majorBidi" w:hAnsiTheme="majorBidi"/>
          <w:b/>
          <w:bCs/>
          <w:color w:themeColor="text1" w:themeTint="d9" w:val="auto"/>
          <w:sz w:val="15"/>
          <w:szCs w:val="15"/>
        </w:rPr>
      </w:pPr>
      <w:r>
        <w:rPr>
          <w:rFonts w:cs="" w:cstheme="majorBidi"/>
          <w:b/>
          <w:bCs/>
          <w:color w:themeColor="text1" w:themeTint="d9" w:val="auto"/>
          <w:sz w:val="15"/>
          <w:szCs w:val="15"/>
        </w:rPr>
        <w:t>7.2</w:t>
      </w:r>
      <w:r>
        <w:rPr>
          <w:rFonts w:cs="" w:cstheme="majorBidi"/>
          <w:color w:themeColor="text1" w:themeTint="d9" w:val="auto"/>
          <w:sz w:val="15"/>
          <w:szCs w:val="15"/>
        </w:rPr>
        <w:t xml:space="preserve"> En cas de dysfonctionnement dû à un défaut de l’équipement embarqué, le client a la possibilité de l’échanger contre un autre équipement du même type sous réserve du respect des conditions de garantie. VEONI procédera au remplacement de l’équipement et au rétablissement du service.</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7.3</w:t>
      </w:r>
      <w:r>
        <w:rPr>
          <w:rFonts w:cs="" w:cstheme="majorBidi"/>
          <w:sz w:val="15"/>
          <w:szCs w:val="15"/>
        </w:rPr>
        <w:t xml:space="preserve"> En cas de </w:t>
      </w:r>
      <w:r>
        <w:rPr>
          <w:rFonts w:cs="" w:cstheme="majorBidi"/>
          <w:color w:themeColor="text1" w:themeTint="d9" w:val="auto"/>
          <w:sz w:val="15"/>
          <w:szCs w:val="15"/>
        </w:rPr>
        <w:t>perte ou de détérioration des équipements, le Client doit s’acquitter du prix en vigueur dudit équipement tel que spécifié dans le présent et bénéficiera d’un second équipement qui sera mis à disposition jusqu’à la fin de son contrat.</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 xml:space="preserve">7.4 </w:t>
      </w:r>
      <w:r>
        <w:rPr>
          <w:rFonts w:cs="" w:cstheme="majorBidi"/>
          <w:color w:themeColor="text1" w:themeTint="d9" w:val="auto"/>
          <w:sz w:val="15"/>
          <w:szCs w:val="15"/>
        </w:rPr>
        <w:t>En cas de détérioration de l’équipement et/ ou l’arrêt du service dû à une mauvaise manipulation par le client, VEONI procédera aux frais du client, qui ne pourra ni s’y soustraire ou s’y opposer de manière aucune, aux interventions nécessaires pour réparer le matériel et rétablir le service.</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8 : GARANTIE-DETERIORATION DES EQUIPEMENTS </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L’équipement installé par VEONI est sous la garantie de celle-ci et est installé auprès du client et est remis sous sa responsabilité. La détérioration, violation, destruction, vol, perte et de manière générale, toute</w:t>
      </w:r>
      <w:r>
        <w:rPr>
          <w:rFonts w:cs="" w:cstheme="majorBidi"/>
          <w:strike/>
          <w:color w:themeColor="text1" w:themeTint="d9" w:val="auto"/>
          <w:sz w:val="15"/>
          <w:szCs w:val="15"/>
        </w:rPr>
        <w:t>s</w:t>
      </w:r>
      <w:r>
        <w:rPr>
          <w:rFonts w:cs="" w:cstheme="majorBidi"/>
          <w:color w:themeColor="text1" w:themeTint="d9" w:val="auto"/>
          <w:sz w:val="15"/>
          <w:szCs w:val="15"/>
        </w:rPr>
        <w:t xml:space="preserve"> altération</w:t>
      </w:r>
      <w:r>
        <w:rPr>
          <w:rFonts w:cs="" w:cstheme="majorBidi"/>
          <w:strike/>
          <w:color w:themeColor="text1" w:themeTint="d9" w:val="auto"/>
          <w:sz w:val="15"/>
          <w:szCs w:val="15"/>
        </w:rPr>
        <w:t>s</w:t>
      </w:r>
      <w:r>
        <w:rPr>
          <w:rFonts w:cs="" w:cstheme="majorBidi"/>
          <w:color w:themeColor="text1" w:themeTint="d9" w:val="auto"/>
          <w:sz w:val="15"/>
          <w:szCs w:val="15"/>
        </w:rPr>
        <w:t xml:space="preserve"> de quelque</w:t>
      </w:r>
      <w:r>
        <w:rPr>
          <w:rFonts w:cs="" w:cstheme="majorBidi"/>
          <w:strike/>
          <w:color w:themeColor="text1" w:themeTint="d9" w:val="auto"/>
          <w:sz w:val="15"/>
          <w:szCs w:val="15"/>
        </w:rPr>
        <w:t>s</w:t>
      </w:r>
      <w:r>
        <w:rPr>
          <w:rFonts w:cs="" w:cstheme="majorBidi"/>
          <w:color w:themeColor="text1" w:themeTint="d9" w:val="auto"/>
          <w:sz w:val="15"/>
          <w:szCs w:val="15"/>
        </w:rPr>
        <w:t xml:space="preserve"> nature</w:t>
      </w:r>
      <w:r>
        <w:rPr>
          <w:rFonts w:cs="" w:cstheme="majorBidi"/>
          <w:strike/>
          <w:color w:themeColor="text1" w:themeTint="d9" w:val="auto"/>
          <w:sz w:val="15"/>
          <w:szCs w:val="15"/>
        </w:rPr>
        <w:t>s</w:t>
      </w:r>
      <w:r>
        <w:rPr>
          <w:rFonts w:cs="" w:cstheme="majorBidi"/>
          <w:color w:themeColor="text1" w:themeTint="d9" w:val="auto"/>
          <w:sz w:val="15"/>
          <w:szCs w:val="15"/>
        </w:rPr>
        <w:t xml:space="preserve"> que cela soit pouvant affecter l’équipement ou son bon fonctionnement sont de la seule responsabilité du client. Le client n’ayant pas respecté les consignes d’utilisation et de maintenance des équipements est seul responsable des dysfonctionnements qui peuvent naître. </w:t>
      </w:r>
      <w:r>
        <w:rPr>
          <w:rFonts w:cs="" w:cstheme="majorBidi"/>
          <w:sz w:val="15"/>
          <w:szCs w:val="15"/>
        </w:rPr>
        <w:t xml:space="preserve">Dans ce cas, VEONI remplacera l’équipement à la seule et entière charge du </w:t>
      </w:r>
      <w:r>
        <w:rPr>
          <w:rFonts w:cs="" w:cstheme="majorBidi"/>
          <w:color w:themeColor="text1" w:themeTint="d9" w:val="auto"/>
          <w:sz w:val="15"/>
          <w:szCs w:val="15"/>
        </w:rPr>
        <w:t>client qui devra s’acquitter de la valeur de son remplacement tel que prévue dans le présent.</w:t>
      </w:r>
    </w:p>
    <w:p>
      <w:pPr>
        <w:pStyle w:val="BodyText2"/>
        <w:ind w:right="1"/>
        <w:rPr>
          <w:rFonts w:cs="" w:asciiTheme="majorBidi" w:cstheme="majorBidi" w:hAnsiTheme="majorBidi"/>
          <w:color w:themeColor="text1" w:themeTint="d9" w:val="auto"/>
          <w:sz w:val="15"/>
          <w:szCs w:val="15"/>
        </w:rPr>
      </w:pPr>
      <w:r>
        <w:rPr>
          <w:rFonts w:cs="" w:asciiTheme="majorBidi" w:cstheme="majorBidi" w:hAnsiTheme="majorBidi"/>
          <w:color w:themeColor="text1" w:themeTint="d9" w:val="auto"/>
          <w:sz w:val="15"/>
          <w:szCs w:val="15"/>
        </w:rPr>
      </w:r>
    </w:p>
    <w:p>
      <w:pPr>
        <w:pStyle w:val="BodyText2"/>
        <w:ind w:right="1"/>
        <w:rPr>
          <w:rFonts w:cs="" w:asciiTheme="majorBidi" w:cstheme="majorBidi" w:hAnsiTheme="majorBidi"/>
          <w:sz w:val="15"/>
          <w:szCs w:val="15"/>
        </w:rPr>
      </w:pPr>
      <w:r>
        <w:rPr>
          <w:rFonts w:cs="" w:cstheme="majorBidi"/>
          <w:color w:themeColor="text1" w:themeTint="d9" w:val="auto"/>
          <w:sz w:val="15"/>
          <w:szCs w:val="15"/>
        </w:rPr>
        <w:t>VEONI pourra en tout état de cause prélever le montant relatif à la valeur de l’équipement détérioré sur le montant de la caution remise par le client à la signature du présent tel que prévu à l’article 9 du présent. Dans ce cas, la seconde caution devra être reconstituée</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9 : CAUTION DE GARANTIE </w:t>
      </w:r>
    </w:p>
    <w:p>
      <w:pPr>
        <w:pStyle w:val="BodyText2"/>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 xml:space="preserve">9.1  </w:t>
      </w:r>
      <w:r>
        <w:rPr>
          <w:rFonts w:cs="" w:cstheme="majorBidi"/>
          <w:color w:themeColor="text1" w:themeTint="d9" w:val="auto"/>
          <w:sz w:val="15"/>
          <w:szCs w:val="15"/>
        </w:rPr>
        <w:t xml:space="preserve">A la signature du présent le client devra payer à VEONI un montant égal à la valeur du nombre d’équipement installés dans les véhicules. Ce montant constitue la garantie de restitution et de non détérioration des équipements installés auprès du client. VEONI s’engage à restituer ce montant au client à l’expiration du contrat d’abonnement sous réserve de restitution par le client à VEONI des équipements en bon état de fonctionnement. </w:t>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ListParagraph"/>
        <w:numPr>
          <w:ilvl w:val="0"/>
          <w:numId w:val="1"/>
        </w:numPr>
        <w:tabs>
          <w:tab w:val="clear" w:pos="708"/>
          <w:tab w:val="left" w:pos="284" w:leader="none"/>
        </w:tabs>
        <w:spacing w:before="0" w:after="0"/>
        <w:ind w:hanging="0" w:left="0" w:right="1"/>
        <w:contextualSpacing w:val="false"/>
        <w:jc w:val="both"/>
        <w:rPr>
          <w:rFonts w:cs="" w:asciiTheme="majorBidi" w:cstheme="majorBidi" w:hAnsiTheme="majorBidi"/>
          <w:vanish/>
          <w:color w:themeColor="text1" w:themeTint="d9" w:val="auto"/>
          <w:kern w:val="0"/>
          <w:sz w:val="15"/>
          <w:szCs w:val="15"/>
        </w:rPr>
      </w:pPr>
      <w:r>
        <w:rPr>
          <w:rFonts w:cs="" w:asciiTheme="majorBidi" w:cstheme="majorBidi" w:hAnsiTheme="majorBidi"/>
          <w:vanish/>
          <w:color w:themeColor="text1" w:themeTint="d9" w:val="auto"/>
          <w:kern w:val="0"/>
          <w:sz w:val="15"/>
          <w:szCs w:val="15"/>
        </w:rPr>
      </w:r>
    </w:p>
    <w:p>
      <w:pPr>
        <w:pStyle w:val="BodyText2"/>
        <w:numPr>
          <w:ilvl w:val="1"/>
          <w:numId w:val="2"/>
        </w:numPr>
        <w:tabs>
          <w:tab w:val="clear" w:pos="708"/>
          <w:tab w:val="left" w:pos="284" w:leader="none"/>
        </w:tabs>
        <w:ind w:hanging="0" w:left="0"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 xml:space="preserve">Le client pourra proposer à VEONI une caution bancaire à première demande ou toute autre garantie financière en substitution du paiement du montant de la caution de garantie objet du présent article. </w:t>
      </w:r>
    </w:p>
    <w:p>
      <w:pPr>
        <w:pStyle w:val="BodyText2"/>
        <w:tabs>
          <w:tab w:val="clear" w:pos="708"/>
          <w:tab w:val="left" w:pos="284" w:leader="none"/>
        </w:tabs>
        <w:ind w:right="1"/>
        <w:rPr>
          <w:rFonts w:cs="" w:asciiTheme="majorBidi" w:cstheme="majorBidi" w:hAnsiTheme="majorBidi"/>
          <w:color w:themeColor="text1" w:themeTint="d9" w:val="FF0000"/>
          <w:sz w:val="15"/>
          <w:szCs w:val="15"/>
          <w:highlight w:val="cyan"/>
        </w:rPr>
      </w:pPr>
      <w:r>
        <w:rPr>
          <w:rFonts w:cs="" w:cstheme="majorBidi"/>
          <w:b/>
          <w:bCs/>
          <w:color w:themeColor="text1" w:themeTint="d9" w:val="auto"/>
          <w:sz w:val="15"/>
          <w:szCs w:val="15"/>
        </w:rPr>
        <w:t>9.3</w:t>
      </w:r>
      <w:r>
        <w:rPr>
          <w:rFonts w:cs="" w:cstheme="majorBidi"/>
          <w:color w:themeColor="text1" w:themeTint="d9" w:val="auto"/>
          <w:sz w:val="15"/>
          <w:szCs w:val="15"/>
        </w:rPr>
        <w:t xml:space="preserve"> En tout état de cause, le signataire du présent contrat ainsi que le représentant légal du client (en cas de personne morale) déclare par le présent se porter caution solidaire à première demande, de tous les engagements et obligations prises par le client conformément aux dispositions du présent, sans qu’ils ne puissent s’y soustraire ou la contester de manière aucune. </w:t>
      </w:r>
    </w:p>
    <w:p>
      <w:pPr>
        <w:pStyle w:val="BodyText2"/>
        <w:tabs>
          <w:tab w:val="clear" w:pos="708"/>
          <w:tab w:val="left" w:pos="284" w:leader="none"/>
        </w:tabs>
        <w:ind w:right="1"/>
        <w:rPr>
          <w:rFonts w:cs="" w:asciiTheme="majorBidi" w:cstheme="majorBidi" w:hAnsiTheme="majorBidi"/>
          <w:color w:themeColor="text1" w:themeTint="d9" w:val="auto"/>
          <w:sz w:val="15"/>
          <w:szCs w:val="15"/>
        </w:rPr>
      </w:pPr>
      <w:r>
        <w:rPr>
          <w:rFonts w:cs="" w:cstheme="majorBidi"/>
          <w:b/>
          <w:bCs/>
          <w:color w:themeColor="text1" w:themeTint="d9" w:val="auto"/>
          <w:sz w:val="15"/>
          <w:szCs w:val="15"/>
        </w:rPr>
        <w:t>9.4</w:t>
      </w:r>
      <w:r>
        <w:rPr>
          <w:rFonts w:cs="" w:cstheme="majorBidi"/>
          <w:color w:themeColor="text1" w:themeTint="d9" w:val="FF0000"/>
          <w:sz w:val="15"/>
          <w:szCs w:val="15"/>
        </w:rPr>
        <w:t xml:space="preserve"> </w:t>
      </w:r>
      <w:r>
        <w:rPr>
          <w:rFonts w:cs="" w:cstheme="majorBidi"/>
          <w:color w:themeColor="text1" w:themeTint="d9" w:val="auto"/>
          <w:sz w:val="15"/>
          <w:szCs w:val="15"/>
        </w:rPr>
        <w:t xml:space="preserve">VEONI Le client peut proposer à VEONI pour toutes garanties de souscrire un contrat d’assurance avec cession des droits à première demande au profit de VEONI, couvrant les risques de perte ou/et détérioration des équipements embarqués dans les véhicules du client et le risque d’impayés et défaut contractuel sur la valeur totale du contrat. </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10 : DROIT DE RECUPERATION DES EQUIPEMENTS </w:t>
      </w:r>
    </w:p>
    <w:p>
      <w:pPr>
        <w:pStyle w:val="BodyText2"/>
        <w:ind w:right="1"/>
        <w:rPr>
          <w:rFonts w:cs="" w:asciiTheme="majorBidi" w:cstheme="majorBidi" w:hAnsiTheme="majorBidi"/>
          <w:sz w:val="15"/>
          <w:szCs w:val="15"/>
        </w:rPr>
      </w:pPr>
      <w:r>
        <w:rPr>
          <w:rFonts w:cs="" w:cstheme="majorBidi"/>
          <w:sz w:val="15"/>
          <w:szCs w:val="15"/>
        </w:rPr>
        <w:t xml:space="preserve">En cas d’impayé des abonnements ou/et de non restitution des équipements installés auprès du client, après mise en demeure restée sans suite dans un délai de 7 jours calendaires, VEONI s’accorde le droit, reconnu et consenti par le client sans que celui-ci ne puisse le contester de manière aucune, </w:t>
      </w:r>
      <w:r>
        <w:rPr>
          <w:rFonts w:cs="" w:cstheme="majorBidi"/>
          <w:color w:themeColor="text1" w:themeTint="d9" w:val="auto"/>
          <w:sz w:val="15"/>
          <w:szCs w:val="15"/>
        </w:rPr>
        <w:t>de géolocaliser</w:t>
      </w:r>
      <w:r>
        <w:rPr>
          <w:rFonts w:cs="" w:cstheme="majorBidi"/>
          <w:sz w:val="15"/>
          <w:szCs w:val="15"/>
        </w:rPr>
        <w:t xml:space="preserve"> le ou les véhicules du client, de les immobiliser et de récupérer par ses propres moyens les équipements installés sur ceux-ci.</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11 : TARIFS D’ABONNEMENT</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 xml:space="preserve">Tout retard ou cessation de paiement, par le client engendra la suspension du service et donnera lieu, le cas échéant à la facturation des frais de remise en service et d’impayés en cours outre les pénalités de retards au taux de 1% par jour de retard. Les tarifs des différentes prestations sont ceux mentionnés dans le contrat selon chaque type d’abonnement choisi par le client. Ces tarifs sont exprimés en dinars hors Taxes. Les coûts du forfait GPRS, les abonnements cartographiques et les frais de connexion à la plateforme, sont compris dans les tarifs mentionnés dans le contrat d’abonnement. </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12 : CONDITIONS DE PAIEMENTS</w:t>
      </w:r>
    </w:p>
    <w:p>
      <w:pPr>
        <w:pStyle w:val="BodyText2"/>
        <w:ind w:right="1"/>
        <w:rPr>
          <w:rFonts w:cs="" w:asciiTheme="majorBidi" w:cstheme="majorBidi" w:hAnsiTheme="majorBidi"/>
          <w:color w:themeColor="text1" w:themeTint="d9" w:val="auto"/>
          <w:sz w:val="15"/>
          <w:szCs w:val="15"/>
        </w:rPr>
      </w:pPr>
      <w:r>
        <w:rPr>
          <w:rFonts w:cs="" w:cstheme="majorBidi"/>
          <w:color w:themeColor="text1" w:themeTint="d9" w:val="auto"/>
          <w:sz w:val="15"/>
          <w:szCs w:val="15"/>
        </w:rPr>
        <w:t>Les frais d’abonnement sont dus d’avance le premier jour ouvré de chaque période entamée de paiement définie par le présent. Tout retard de paiement fera l’objet de paiement d’une pénalité de retard à hauteur de 1% par jour de retard de paiement. Les pénalités de retard telles que définies par le présent demeurent imputables jusqu’au jour du paiement intégral des montants dus, même lorsque le service est suspendu par le système pour défaut de paiement.  Le rétablissement du service suite à la suspension de celui-ci du fait d’une défaillance du client fait l’objet de frais additionnels au taux de 2% du montant de la dernière facture dû</w:t>
      </w:r>
      <w:r>
        <w:rPr>
          <w:rFonts w:cs="" w:cstheme="majorBidi"/>
          <w:strike/>
          <w:color w:themeColor="text1" w:themeTint="d9" w:val="auto"/>
          <w:sz w:val="15"/>
          <w:szCs w:val="15"/>
        </w:rPr>
        <w:t>s</w:t>
      </w:r>
      <w:r>
        <w:rPr>
          <w:rFonts w:cs="" w:cstheme="majorBidi"/>
          <w:color w:themeColor="text1" w:themeTint="d9" w:val="auto"/>
          <w:sz w:val="15"/>
          <w:szCs w:val="15"/>
        </w:rPr>
        <w:t xml:space="preserve"> par le client.</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13 : LIMITES DE RESPONSABILITE </w:t>
      </w:r>
    </w:p>
    <w:p>
      <w:pPr>
        <w:pStyle w:val="BodyText2"/>
        <w:ind w:right="1"/>
        <w:rPr>
          <w:rFonts w:cs="" w:asciiTheme="majorBidi" w:cstheme="majorBidi" w:hAnsiTheme="majorBidi"/>
          <w:sz w:val="15"/>
          <w:szCs w:val="15"/>
        </w:rPr>
      </w:pPr>
      <w:r>
        <w:rPr>
          <w:rFonts w:cs="" w:cstheme="majorBidi"/>
          <w:sz w:val="15"/>
          <w:szCs w:val="15"/>
        </w:rPr>
        <w:t xml:space="preserve">Le client </w:t>
      </w:r>
      <w:r>
        <w:rPr>
          <w:rFonts w:cs="" w:cstheme="majorBidi"/>
          <w:color w:themeColor="text1" w:themeTint="d9" w:val="auto"/>
          <w:sz w:val="15"/>
          <w:szCs w:val="15"/>
        </w:rPr>
        <w:t>reconnait avoir pris connaissance des caractéristiques et limites des services et désengage, par conséquent la responsabilité de VEONI pour tout incident ne se rapportant pas à son rôle à savoir offrir l’accès à un système de contrôle et de suivi des véhicules via la technologie GPS/GPRS, ainsi qu’une assistance digitale, téléphonique ou par courriel pour ce qui relève des réclamations et autres assistances requises</w:t>
      </w:r>
      <w:r>
        <w:rPr>
          <w:rFonts w:cs="" w:cstheme="majorBidi"/>
          <w:b/>
          <w:bCs/>
          <w:color w:themeColor="text1" w:themeTint="d9" w:val="auto"/>
          <w:sz w:val="15"/>
          <w:szCs w:val="15"/>
        </w:rPr>
        <w:t xml:space="preserve">. </w:t>
      </w:r>
      <w:r>
        <w:rPr>
          <w:rFonts w:cs="" w:cstheme="majorBidi"/>
          <w:color w:themeColor="text1" w:themeTint="d9" w:val="auto"/>
          <w:sz w:val="15"/>
          <w:szCs w:val="15"/>
        </w:rPr>
        <w:t>En tous états de causes les réclamations clients, doivent être prises en charge dans les 48h suivant l’incident ou la panne signalée par le client. L</w:t>
      </w:r>
      <w:r>
        <w:rPr>
          <w:rFonts w:cs="" w:cstheme="majorBidi"/>
          <w:sz w:val="15"/>
          <w:szCs w:val="15"/>
        </w:rPr>
        <w:t>e client ne saurait se prévaloir de dédommagements au-delà du dit délai de réclamation.</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14 : RESPONSABILITE </w:t>
      </w:r>
    </w:p>
    <w:p>
      <w:pPr>
        <w:pStyle w:val="BodyText2"/>
        <w:ind w:right="1"/>
        <w:rPr>
          <w:rFonts w:cs="" w:asciiTheme="majorBidi" w:cstheme="majorBidi" w:hAnsiTheme="majorBidi"/>
          <w:b/>
          <w:bCs/>
          <w:color w:themeColor="text1" w:themeTint="d9" w:val="FF0000"/>
          <w:sz w:val="15"/>
          <w:szCs w:val="15"/>
        </w:rPr>
      </w:pPr>
      <w:r>
        <w:rPr>
          <w:rFonts w:cs="" w:cstheme="majorBidi"/>
          <w:sz w:val="15"/>
          <w:szCs w:val="15"/>
        </w:rPr>
        <w:t xml:space="preserve">Le client est seul et unique responsable de la décision d’installation des équipements embarqués dans ses véhicules et </w:t>
      </w:r>
      <w:r>
        <w:rPr>
          <w:rFonts w:cs="" w:cstheme="majorBidi"/>
          <w:color w:themeColor="text1" w:themeTint="d9" w:val="auto"/>
          <w:sz w:val="15"/>
          <w:szCs w:val="15"/>
        </w:rPr>
        <w:t xml:space="preserve">de géo localisation </w:t>
      </w:r>
      <w:r>
        <w:rPr>
          <w:rFonts w:cs="" w:cstheme="majorBidi"/>
          <w:sz w:val="15"/>
          <w:szCs w:val="15"/>
        </w:rPr>
        <w:t xml:space="preserve">de ceux-ci. La responsabilité de VEONI ne peut être recherchée et engagée de manière aucune et par quiconque pour ce qui concerne l’installation des services prévus par le présent et engagé par le client. VEONI ne peut </w:t>
      </w:r>
      <w:r>
        <w:rPr>
          <w:rFonts w:cs="" w:cstheme="majorBidi"/>
          <w:color w:themeColor="text1" w:themeTint="d9" w:val="auto"/>
          <w:sz w:val="15"/>
          <w:szCs w:val="15"/>
        </w:rPr>
        <w:t xml:space="preserve">être tenue </w:t>
      </w:r>
      <w:r>
        <w:rPr>
          <w:rFonts w:cs="" w:cstheme="majorBidi"/>
          <w:sz w:val="15"/>
          <w:szCs w:val="15"/>
        </w:rPr>
        <w:t xml:space="preserve">pour responsable des éventuelles autorisations préalables, requêtes, demandes ou autres et de manière </w:t>
      </w:r>
      <w:r>
        <w:rPr>
          <w:rFonts w:cs="" w:cstheme="majorBidi"/>
          <w:color w:themeColor="text1" w:themeTint="d9" w:val="auto"/>
          <w:sz w:val="15"/>
          <w:szCs w:val="15"/>
        </w:rPr>
        <w:t xml:space="preserve">générale des pouvoirs réels et effectifs </w:t>
      </w:r>
      <w:r>
        <w:rPr>
          <w:rFonts w:cs="" w:cstheme="majorBidi"/>
          <w:sz w:val="15"/>
          <w:szCs w:val="15"/>
        </w:rPr>
        <w:t xml:space="preserve">du client à </w:t>
      </w:r>
      <w:r>
        <w:rPr>
          <w:rFonts w:cs="" w:cstheme="majorBidi"/>
          <w:color w:themeColor="text1" w:themeTint="d9" w:val="auto"/>
          <w:sz w:val="15"/>
          <w:szCs w:val="15"/>
        </w:rPr>
        <w:t xml:space="preserve">engager et installer les prestations </w:t>
      </w:r>
      <w:r>
        <w:rPr>
          <w:rFonts w:cs="" w:cstheme="majorBidi"/>
          <w:sz w:val="15"/>
          <w:szCs w:val="15"/>
        </w:rPr>
        <w:t xml:space="preserve">de services de géo localisation prévus au présent contrat. Le client et plus particulièrement le signataire du présent est seul et unique responsable des défaillances légales et autres abus ou non-respect de la réglementation ou procédure régissant son activité et ses pouvoirs. La responsabilité de VEONI s’arrête à la garantie de confidentialité et de non accessibilité aux informations </w:t>
      </w:r>
      <w:r>
        <w:rPr>
          <w:rFonts w:cs="" w:cstheme="majorBidi"/>
          <w:color w:themeColor="text1" w:themeTint="d9" w:val="auto"/>
          <w:sz w:val="15"/>
          <w:szCs w:val="15"/>
        </w:rPr>
        <w:t>recueillies par le service à autres personnes que celles prévues et déclarées dans le présent</w:t>
      </w:r>
      <w:r>
        <w:rPr>
          <w:rFonts w:cs="" w:cstheme="majorBidi"/>
          <w:b/>
          <w:bCs/>
          <w:color w:themeColor="text1" w:themeTint="d9" w:val="auto"/>
          <w:sz w:val="15"/>
          <w:szCs w:val="15"/>
        </w:rPr>
        <w:t>.</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ARTICLE 15 : EXPLOIATATION DES LOGOS</w:t>
      </w:r>
    </w:p>
    <w:p>
      <w:pPr>
        <w:pStyle w:val="BodyText2"/>
        <w:ind w:right="1"/>
        <w:rPr>
          <w:rFonts w:cs="" w:asciiTheme="majorBidi" w:cstheme="majorBidi" w:hAnsiTheme="majorBidi"/>
          <w:color w:themeColor="text1" w:themeTint="d9" w:val="auto"/>
          <w:sz w:val="15"/>
          <w:szCs w:val="15"/>
        </w:rPr>
      </w:pPr>
      <w:r>
        <w:rPr>
          <w:rFonts w:cs="" w:cstheme="majorBidi"/>
          <w:sz w:val="15"/>
          <w:szCs w:val="15"/>
        </w:rPr>
        <w:t xml:space="preserve">Dans le but de la promotion de ses produits VEONI, le client consent à </w:t>
      </w:r>
      <w:r>
        <w:rPr>
          <w:rFonts w:cs="" w:cstheme="majorBidi"/>
          <w:color w:themeColor="text1" w:themeTint="d9" w:val="auto"/>
          <w:sz w:val="15"/>
          <w:szCs w:val="15"/>
        </w:rPr>
        <w:t>VEONI, l’insertion et l’affichage sur son site web et dans ses références les noms et logos de ses clients.</w:t>
      </w:r>
    </w:p>
    <w:p>
      <w:pPr>
        <w:pStyle w:val="BodyText2"/>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16 : LITIGES /CONTESTATIONS </w:t>
      </w:r>
    </w:p>
    <w:p>
      <w:pPr>
        <w:pStyle w:val="BodyText2"/>
        <w:ind w:right="1"/>
        <w:rPr>
          <w:rFonts w:cs="" w:asciiTheme="majorBidi" w:cstheme="majorBidi" w:hAnsiTheme="majorBidi"/>
          <w:sz w:val="15"/>
          <w:szCs w:val="15"/>
        </w:rPr>
      </w:pPr>
      <w:r>
        <w:rPr>
          <w:rFonts w:cs="" w:cstheme="majorBidi"/>
          <w:sz w:val="15"/>
          <w:szCs w:val="15"/>
        </w:rPr>
        <w:t>Tous litiges, contestations ou/et de manière générale, tous différends, pouvant naître de l’exécution du présent, ne pourra en aucun cas et de manières aucune</w:t>
      </w:r>
      <w:r>
        <w:rPr>
          <w:rFonts w:cs="" w:cstheme="majorBidi"/>
          <w:color w:themeColor="text1" w:themeTint="d9" w:val="auto"/>
          <w:sz w:val="15"/>
          <w:szCs w:val="15"/>
        </w:rPr>
        <w:t>s</w:t>
      </w:r>
      <w:r>
        <w:rPr>
          <w:rFonts w:cs="" w:cstheme="majorBidi"/>
          <w:sz w:val="15"/>
          <w:szCs w:val="15"/>
        </w:rPr>
        <w:t xml:space="preserve"> mettre en suspend ou/et remettre en cause de </w:t>
      </w:r>
      <w:r>
        <w:rPr>
          <w:rFonts w:cs="" w:cstheme="majorBidi"/>
          <w:color w:themeColor="text1" w:themeTint="d9" w:val="auto"/>
          <w:sz w:val="15"/>
          <w:szCs w:val="15"/>
        </w:rPr>
        <w:t>quelque</w:t>
      </w:r>
      <w:r>
        <w:rPr>
          <w:rFonts w:cs="" w:cstheme="majorBidi"/>
          <w:strike/>
          <w:color w:themeColor="text1" w:themeTint="d9" w:val="auto"/>
          <w:sz w:val="15"/>
          <w:szCs w:val="15"/>
        </w:rPr>
        <w:t>s</w:t>
      </w:r>
      <w:r>
        <w:rPr>
          <w:rFonts w:cs="" w:cstheme="majorBidi"/>
          <w:color w:themeColor="text1" w:themeTint="d9" w:val="auto"/>
          <w:sz w:val="15"/>
          <w:szCs w:val="15"/>
        </w:rPr>
        <w:t xml:space="preserve"> manière</w:t>
      </w:r>
      <w:r>
        <w:rPr>
          <w:rFonts w:cs="" w:cstheme="majorBidi"/>
          <w:strike/>
          <w:color w:themeColor="text1" w:themeTint="d9" w:val="auto"/>
          <w:sz w:val="15"/>
          <w:szCs w:val="15"/>
        </w:rPr>
        <w:t>s</w:t>
      </w:r>
      <w:r>
        <w:rPr>
          <w:rFonts w:cs="" w:cstheme="majorBidi"/>
          <w:color w:themeColor="text1" w:themeTint="d9" w:val="auto"/>
          <w:sz w:val="15"/>
          <w:szCs w:val="15"/>
        </w:rPr>
        <w:t xml:space="preserve"> que ce soit</w:t>
      </w:r>
      <w:r>
        <w:rPr>
          <w:rFonts w:cs="" w:cstheme="majorBidi"/>
          <w:sz w:val="15"/>
          <w:szCs w:val="15"/>
        </w:rPr>
        <w:t xml:space="preserve"> l’exécution des clauses du présent. Les parties pourront se rapprocher pour trouver un accord entre elles, à défaut le différend sera porté devant les tribunaux de Tunis dont compétence est reconnue par les parties.</w:t>
      </w:r>
    </w:p>
    <w:p>
      <w:pPr>
        <w:pStyle w:val="BodyText2"/>
        <w:ind w:right="1"/>
        <w:rPr>
          <w:rFonts w:cs="" w:asciiTheme="majorBidi" w:cstheme="majorBidi" w:hAnsiTheme="majorBidi"/>
          <w:b/>
          <w:bCs/>
          <w:color w:themeColor="text2" w:themeShade="bf" w:val="17365D"/>
          <w:sz w:val="15"/>
          <w:szCs w:val="15"/>
        </w:rPr>
      </w:pPr>
      <w:r>
        <w:rPr>
          <w:rFonts w:cs="" w:cstheme="majorBidi"/>
          <w:b/>
          <w:bCs/>
          <w:color w:themeColor="text2" w:themeShade="bf" w:val="17365D"/>
          <w:sz w:val="15"/>
          <w:szCs w:val="15"/>
        </w:rPr>
        <w:t xml:space="preserve">ARTICLE 17 : ELECTION DE DOMICILE </w:t>
      </w:r>
    </w:p>
    <w:p>
      <w:pPr>
        <w:pStyle w:val="BodyText2"/>
        <w:ind w:right="1"/>
        <w:rPr>
          <w:rFonts w:cs="" w:asciiTheme="majorBidi" w:cstheme="majorBidi" w:hAnsiTheme="majorBidi"/>
          <w:sz w:val="15"/>
          <w:szCs w:val="15"/>
        </w:rPr>
      </w:pPr>
      <w:r>
        <w:rPr>
          <w:rFonts w:cs="" w:cstheme="majorBidi"/>
          <w:sz w:val="15"/>
          <w:szCs w:val="15"/>
        </w:rPr>
        <w:t>Aux bonnes fins d’exécution du présent, les parties élisent domicile, chacune pour ce qui la concerne aux adresses indiquées dans le présent.</w:t>
      </w:r>
    </w:p>
    <w:p>
      <w:pPr>
        <w:pStyle w:val="Normal"/>
        <w:rPr>
          <w:rFonts w:cs="" w:asciiTheme="majorBidi" w:cstheme="majorBidi" w:hAnsiTheme="majorBidi"/>
          <w:b/>
          <w:bCs/>
          <w:sz w:val="14"/>
          <w:szCs w:val="14"/>
        </w:rPr>
      </w:pPr>
      <w:r>
        <w:rPr>
          <w:rFonts w:cs="" w:asciiTheme="majorBidi" w:cstheme="majorBidi" w:hAnsiTheme="majorBidi"/>
          <w:b/>
          <w:bCs/>
          <w:sz w:val="14"/>
          <w:szCs w:val="14"/>
        </w:rPr>
      </w:r>
    </w:p>
    <w:p>
      <w:pPr>
        <w:pStyle w:val="Normal"/>
        <w:rPr>
          <w:rFonts w:cs="" w:asciiTheme="majorBidi" w:cstheme="majorBidi" w:hAnsiTheme="majorBidi"/>
          <w:b/>
          <w:bCs/>
          <w:sz w:val="14"/>
          <w:szCs w:val="14"/>
        </w:rPr>
      </w:pPr>
      <w:r>
        <w:rPr>
          <w:rFonts w:cs="" w:asciiTheme="majorBidi" w:cstheme="majorBidi" w:hAnsiTheme="majorBidi"/>
          <w:b/>
          <w:bCs/>
          <w:sz w:val="14"/>
          <w:szCs w:val="14"/>
        </w:rPr>
      </w:r>
    </w:p>
    <w:p>
      <w:pPr>
        <w:pStyle w:val="Normal"/>
        <w:rPr>
          <w:rFonts w:cs="" w:asciiTheme="majorBidi" w:cstheme="majorBidi" w:hAnsiTheme="majorBidi"/>
          <w:color w:themeColor="text2" w:themeShade="bf" w:val="17365D"/>
          <w:sz w:val="14"/>
          <w:szCs w:val="14"/>
        </w:rPr>
      </w:pPr>
      <w:r>
        <w:rPr>
          <w:rFonts w:cs="" w:cstheme="majorBidi"/>
          <w:b/>
          <w:bCs/>
          <w:sz w:val="14"/>
          <w:szCs w:val="14"/>
        </w:rPr>
        <w:t>Tunis le</w:t>
      </w:r>
      <w:r>
        <w:rPr>
          <w:rFonts w:cs="" w:cstheme="majorBidi"/>
          <w:sz w:val="14"/>
          <w:szCs w:val="14"/>
        </w:rPr>
        <w:t> : ____________</w:t>
      </w:r>
      <w:r>
        <w:rPr>
          <w:rFonts w:cs="" w:cstheme="majorBidi"/>
          <w:color w:themeColor="text2" w:themeShade="bf" w:val="17365D"/>
          <w:sz w:val="14"/>
          <w:szCs w:val="14"/>
        </w:rPr>
        <w:t xml:space="preserve"> </w:t>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i/>
          <w:i/>
          <w:iCs/>
          <w:color w:themeColor="text2" w:themeShade="bf" w:val="17365D"/>
          <w:sz w:val="14"/>
          <w:szCs w:val="14"/>
        </w:rPr>
      </w:pPr>
      <w:r>
        <w:rPr>
          <w:rFonts w:cs="" w:cstheme="majorBidi"/>
          <w:i/>
          <w:iCs/>
          <w:color w:themeColor="text2" w:themeShade="bf" w:val="17365D"/>
          <w:sz w:val="14"/>
          <w:szCs w:val="14"/>
        </w:rPr>
        <w:t>Lu et approuvé</w:t>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color w:themeColor="text2" w:themeShade="bf" w:val="17365D"/>
          <w:sz w:val="14"/>
          <w:szCs w:val="14"/>
        </w:rPr>
      </w:pPr>
      <w:r>
        <w:rPr>
          <w:rFonts w:cs="" w:asciiTheme="majorBidi" w:cstheme="majorBidi" w:hAnsiTheme="majorBidi"/>
          <w:color w:themeColor="text2" w:themeShade="bf" w:val="17365D"/>
          <w:sz w:val="14"/>
          <w:szCs w:val="14"/>
        </w:rPr>
      </w:r>
    </w:p>
    <w:p>
      <w:pPr>
        <w:pStyle w:val="Normal"/>
        <w:rPr>
          <w:rFonts w:cs="" w:asciiTheme="majorBidi" w:cstheme="majorBidi" w:hAnsiTheme="majorBidi"/>
          <w:i/>
          <w:i/>
          <w:iCs/>
          <w:sz w:val="14"/>
          <w:szCs w:val="14"/>
          <w:u w:val="single"/>
        </w:rPr>
      </w:pPr>
      <w:r>
        <w:rPr>
          <w:rFonts w:cs="" w:cstheme="majorBidi"/>
          <w:i/>
          <w:iCs/>
          <w:sz w:val="14"/>
          <w:szCs w:val="14"/>
          <w:u w:val="single"/>
        </w:rPr>
        <w:t>(Signature)__________________</w:t>
      </w:r>
    </w:p>
    <w:p>
      <w:pPr>
        <w:pStyle w:val="Normal"/>
        <w:rPr>
          <w:rFonts w:cs="" w:asciiTheme="majorBidi" w:cstheme="majorBidi" w:hAnsiTheme="majorBidi"/>
          <w:i/>
          <w:i/>
          <w:iCs/>
          <w:sz w:val="14"/>
          <w:szCs w:val="14"/>
          <w:u w:val="single"/>
        </w:rPr>
      </w:pPr>
      <w:r>
        <w:rPr>
          <w:rFonts w:cs="" w:asciiTheme="majorBidi" w:cstheme="majorBidi" w:hAnsiTheme="majorBidi"/>
          <w:i/>
          <w:iCs/>
          <w:sz w:val="14"/>
          <w:szCs w:val="14"/>
          <w:u w:val="single"/>
        </w:rPr>
      </w:r>
    </w:p>
    <w:p>
      <w:pPr>
        <w:pStyle w:val="BodyText2"/>
        <w:jc w:val="left"/>
        <w:rPr>
          <w:rFonts w:cs="" w:asciiTheme="majorBidi" w:cstheme="majorBidi" w:hAnsiTheme="majorBidi"/>
          <w:i/>
          <w:i/>
          <w:iCs/>
          <w:sz w:val="14"/>
          <w:szCs w:val="14"/>
          <w:u w:val="single"/>
        </w:rPr>
      </w:pPr>
      <w:r>
        <w:rPr>
          <w:rFonts w:cs="" w:asciiTheme="majorBidi" w:cstheme="majorBidi" w:hAnsiTheme="majorBidi"/>
          <w:i/>
          <w:iCs/>
          <w:sz w:val="14"/>
          <w:szCs w:val="14"/>
          <w:u w:val="single"/>
        </w:rPr>
      </w:r>
    </w:p>
    <w:p>
      <w:pPr>
        <w:sectPr>
          <w:type w:val="continuous"/>
          <w:pgSz w:w="11906" w:h="16838"/>
          <w:pgMar w:left="1417" w:right="1133" w:gutter="0" w:header="279" w:top="567" w:footer="401" w:bottom="458"/>
          <w:cols w:num="2" w:space="282" w:equalWidth="true" w:sep="false"/>
          <w:formProt w:val="false"/>
          <w:textDirection w:val="lrTb"/>
          <w:docGrid w:type="default" w:linePitch="360" w:charSpace="0"/>
        </w:sectPr>
      </w:pPr>
    </w:p>
    <w:p>
      <w:pPr>
        <w:pStyle w:val="BodyText2"/>
        <w:tabs>
          <w:tab w:val="clear" w:pos="708"/>
          <w:tab w:val="left" w:pos="503" w:leader="none"/>
          <w:tab w:val="center" w:pos="5528" w:leader="none"/>
        </w:tabs>
        <w:jc w:val="left"/>
        <w:rPr>
          <w:rFonts w:ascii="Adobe Caslon Pro" w:hAnsi="Adobe Caslon Pro"/>
          <w:i/>
          <w:i/>
          <w:iCs/>
          <w:color w:themeColor="text1" w:themeTint="d9" w:val="1F497D"/>
        </w:rPr>
      </w:pPr>
      <w:r>
        <w:rPr>
          <w:rFonts w:ascii="Bauhaus 93" w:hAnsi="Bauhaus 93"/>
          <w:color w:themeColor="text1" w:themeTint="d9" w:val="1F497D"/>
          <w:sz w:val="32"/>
          <w:szCs w:val="32"/>
        </w:rPr>
        <w:tab/>
      </w:r>
    </w:p>
    <w:tbl>
      <w:tblPr>
        <w:tblW w:w="5000" w:type="pct"/>
        <w:jc w:val="left"/>
        <w:tblInd w:w="0" w:type="dxa"/>
        <w:tblLayout w:type="fixed"/>
        <w:tblCellMar>
          <w:top w:w="0" w:type="dxa"/>
          <w:left w:w="0" w:type="dxa"/>
          <w:bottom w:w="0" w:type="dxa"/>
          <w:right w:w="0" w:type="dxa"/>
        </w:tblCellMar>
      </w:tblPr>
      <w:tblGrid>
        <w:gridCol w:w="3118"/>
        <w:gridCol w:w="3119"/>
        <w:gridCol w:w="3119"/>
      </w:tblGrid>
      <w:tr>
        <w:trPr>
          <w:trHeight w:val="628" w:hRule="atLeast"/>
        </w:trPr>
        <w:tc>
          <w:tcPr>
            <w:tcW w:w="3118"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Contrat Num :   ${contractNum}</w:t>
            </w:r>
          </w:p>
        </w:tc>
        <w:tc>
          <w:tcPr>
            <w:tcW w:w="3119" w:type="dxa"/>
            <w:tcBorders/>
          </w:tcPr>
          <w:p>
            <w:pPr>
              <w:pStyle w:val="TableContents"/>
              <w:rPr/>
            </w:pPr>
            <w:r>
              <w:rPr/>
            </w:r>
          </w:p>
        </w:tc>
        <w:tc>
          <w:tcPr>
            <w:tcW w:w="3119"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Réf Client :   ${clientRef}</w:t>
            </w:r>
          </w:p>
        </w:tc>
      </w:tr>
    </w:tbl>
    <w:p>
      <w:pPr>
        <w:pStyle w:val="BodyText2"/>
        <w:tabs>
          <w:tab w:val="clear" w:pos="708"/>
          <w:tab w:val="left" w:pos="503" w:leader="none"/>
          <w:tab w:val="center" w:pos="5528" w:leader="none"/>
        </w:tabs>
        <w:jc w:val="left"/>
        <w:rPr>
          <w:rFonts w:ascii="Adobe Caslon Pro" w:hAnsi="Adobe Caslon Pro"/>
          <w:i/>
          <w:i/>
          <w:iCs/>
          <w:color w:themeColor="text1" w:themeTint="d9" w:val="1F497D"/>
        </w:rPr>
      </w:pPr>
      <w:r>
        <w:rPr>
          <w:rFonts w:ascii="Adobe Caslon Pro" w:hAnsi="Adobe Caslon Pro"/>
          <w:i/>
          <w:iCs/>
          <w:color w:themeColor="text1" w:themeTint="d9" w:val="1F497D"/>
        </w:rPr>
      </w:r>
    </w:p>
    <w:tbl>
      <w:tblPr>
        <w:tblW w:w="5000" w:type="pct"/>
        <w:jc w:val="left"/>
        <w:tblInd w:w="0" w:type="dxa"/>
        <w:tblLayout w:type="fixed"/>
        <w:tblCellMar>
          <w:top w:w="0" w:type="dxa"/>
          <w:left w:w="0" w:type="dxa"/>
          <w:bottom w:w="0" w:type="dxa"/>
          <w:right w:w="0" w:type="dxa"/>
        </w:tblCellMar>
      </w:tblPr>
      <w:tblGrid>
        <w:gridCol w:w="2342"/>
        <w:gridCol w:w="4136"/>
        <w:gridCol w:w="2878"/>
      </w:tblGrid>
      <w:tr>
        <w:trPr>
          <w:trHeight w:val="628" w:hRule="atLeast"/>
        </w:trPr>
        <w:tc>
          <w:tcPr>
            <w:tcW w:w="2342" w:type="dxa"/>
            <w:tcBorders/>
          </w:tcPr>
          <w:p>
            <w:pPr>
              <w:pStyle w:val="TableContents"/>
              <w:rPr/>
            </w:pPr>
            <w:r>
              <w:rPr/>
            </w:r>
          </w:p>
        </w:tc>
        <w:tc>
          <w:tcPr>
            <w:tcW w:w="4136" w:type="dxa"/>
            <w:tcBorders/>
            <w:shd w:fill="CCCCCC" w:val="clear"/>
          </w:tcPr>
          <w:p>
            <w:pPr>
              <w:pStyle w:val="FrameContents"/>
              <w:jc w:val="center"/>
              <w:rPr>
                <w:sz w:val="18"/>
                <w:szCs w:val="18"/>
              </w:rPr>
            </w:pPr>
            <w:r>
              <w:rPr>
                <w:sz w:val="18"/>
                <w:szCs w:val="18"/>
              </w:rPr>
            </w:r>
          </w:p>
          <w:p>
            <w:pPr>
              <w:pStyle w:val="FrameContents"/>
              <w:jc w:val="center"/>
              <w:rPr>
                <w:sz w:val="18"/>
                <w:szCs w:val="18"/>
              </w:rPr>
            </w:pPr>
            <w:r>
              <w:rPr>
                <w:color w:themeColor="text1" w:themeTint="d9" w:val="262626"/>
                <w:sz w:val="18"/>
                <w:szCs w:val="18"/>
              </w:rPr>
              <w:t>Code Commercial / Agence :   ${comCode}</w:t>
            </w:r>
          </w:p>
        </w:tc>
        <w:tc>
          <w:tcPr>
            <w:tcW w:w="2878" w:type="dxa"/>
            <w:tcBorders/>
          </w:tcPr>
          <w:p>
            <w:pPr>
              <w:pStyle w:val="TableContents"/>
              <w:rPr/>
            </w:pPr>
            <w:r>
              <w:rPr/>
            </w:r>
          </w:p>
        </w:tc>
      </w:tr>
    </w:tbl>
    <w:p>
      <w:pPr>
        <w:pStyle w:val="BodyText2"/>
        <w:ind w:left="993"/>
        <w:jc w:val="left"/>
        <w:rPr>
          <w:rFonts w:ascii="Adobe Caslon Pro" w:hAnsi="Adobe Caslon Pro"/>
          <w:i/>
          <w:i/>
          <w:iCs/>
          <w:color w:themeColor="text1" w:themeTint="d9" w:val="1F497D"/>
        </w:rPr>
      </w:pPr>
      <w:r>
        <w:rPr>
          <w:rFonts w:ascii="Adobe Caslon Pro" w:hAnsi="Adobe Caslon Pro"/>
          <w:i/>
          <w:iCs/>
          <w:color w:themeColor="text1" w:themeTint="d9" w:val="1F497D"/>
        </w:rPr>
      </w:r>
    </w:p>
    <w:p>
      <w:pPr>
        <w:pStyle w:val="BodyText2"/>
        <w:jc w:val="center"/>
        <w:rPr>
          <w:rFonts w:ascii="Bauhaus 93" w:hAnsi="Bauhaus 93"/>
          <w:color w:themeColor="text1" w:themeTint="d9" w:val="1F497D"/>
          <w:sz w:val="32"/>
          <w:szCs w:val="32"/>
        </w:rPr>
      </w:pPr>
      <w:r>
        <w:rPr>
          <w:rFonts w:ascii="Bauhaus 93" w:hAnsi="Bauhaus 93"/>
          <w:color w:themeColor="text1" w:themeTint="d9" w:val="1F497D"/>
          <w:sz w:val="32"/>
          <w:szCs w:val="32"/>
        </w:rPr>
      </w:r>
    </w:p>
    <w:p>
      <w:pPr>
        <w:pStyle w:val="BodyText2"/>
        <w:jc w:val="center"/>
        <w:rPr>
          <w:rFonts w:ascii="Bauhaus 93" w:hAnsi="Bauhaus 93"/>
          <w:color w:themeColor="text1" w:themeTint="d9" w:val="1F497D"/>
          <w:sz w:val="32"/>
          <w:szCs w:val="32"/>
        </w:rPr>
      </w:pPr>
      <w:r>
        <w:rPr>
          <w:rFonts w:ascii="Bauhaus 93" w:hAnsi="Bauhaus 93"/>
          <w:color w:themeColor="text1" w:themeTint="d9" w:val="1F497D"/>
          <w:sz w:val="32"/>
          <w:szCs w:val="32"/>
        </w:rPr>
        <w:t>LISTE DETAILLEE FLOTTE</w:t>
      </w:r>
    </w:p>
    <w:p>
      <w:pPr>
        <w:pStyle w:val="BodyText2"/>
        <w:jc w:val="center"/>
        <w:rPr/>
      </w:pPr>
      <w:r>
        <w:rPr/>
      </w:r>
    </w:p>
    <w:tbl>
      <w:tblPr>
        <w:tblStyle w:val="Grilledutableau"/>
        <w:tblW w:w="9327" w:type="dxa"/>
        <w:jc w:val="left"/>
        <w:tblInd w:w="839" w:type="dxa"/>
        <w:tblLayout w:type="fixed"/>
        <w:tblCellMar>
          <w:top w:w="0" w:type="dxa"/>
          <w:left w:w="108" w:type="dxa"/>
          <w:bottom w:w="0" w:type="dxa"/>
          <w:right w:w="108" w:type="dxa"/>
        </w:tblCellMar>
        <w:tblLook w:val="04a0" w:noHBand="0" w:noVBand="1" w:firstColumn="1" w:lastRow="0" w:lastColumn="0" w:firstRow="1"/>
      </w:tblPr>
      <w:tblGrid>
        <w:gridCol w:w="1865"/>
        <w:gridCol w:w="1865"/>
        <w:gridCol w:w="1866"/>
        <w:gridCol w:w="1865"/>
        <w:gridCol w:w="1866"/>
      </w:tblGrid>
      <w:tr>
        <w:trPr/>
        <w:tc>
          <w:tcPr>
            <w:tcW w:w="9327" w:type="dxa"/>
            <w:gridSpan w:val="5"/>
            <w:tcBorders>
              <w:top w:val="single" w:sz="12" w:space="0" w:color="FFFFFF"/>
              <w:left w:val="single" w:sz="12" w:space="0" w:color="FFFFFF"/>
              <w:bottom w:val="single" w:sz="12" w:space="0" w:color="FFFFFF"/>
              <w:right w:val="single" w:sz="12" w:space="0" w:color="FFFFFF"/>
            </w:tcBorders>
            <w:shd w:color="auto" w:fill="95B3D7" w:themeFill="accent1" w:themeFillTint="99" w:val="clear"/>
          </w:tcPr>
          <w:p>
            <w:pPr>
              <w:pStyle w:val="BodyText2"/>
              <w:widowControl/>
              <w:suppressAutoHyphens w:val="true"/>
              <w:spacing w:before="0" w:after="0"/>
              <w:jc w:val="left"/>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Descriptif flotte :</w:t>
            </w:r>
          </w:p>
        </w:tc>
      </w:tr>
      <w:tr>
        <w:trPr/>
        <w:tc>
          <w:tcPr>
            <w:tcW w:w="186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Nombre</w:t>
            </w:r>
          </w:p>
        </w:tc>
        <w:tc>
          <w:tcPr>
            <w:tcW w:w="186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Marque</w:t>
            </w:r>
          </w:p>
        </w:tc>
        <w:tc>
          <w:tcPr>
            <w:tcW w:w="1866"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Type</w:t>
            </w:r>
          </w:p>
        </w:tc>
        <w:tc>
          <w:tcPr>
            <w:tcW w:w="1865"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Modèle</w:t>
            </w:r>
          </w:p>
        </w:tc>
        <w:tc>
          <w:tcPr>
            <w:tcW w:w="1866" w:type="dxa"/>
            <w:tcBorders>
              <w:top w:val="single" w:sz="12" w:space="0" w:color="FFFFFF"/>
              <w:left w:val="single" w:sz="12" w:space="0" w:color="FFFFFF"/>
              <w:bottom w:val="single" w:sz="12" w:space="0" w:color="FFFFFF"/>
              <w:right w:val="single" w:sz="12" w:space="0" w:color="FFFFFF"/>
            </w:tcBorders>
            <w:shd w:color="auto" w:fill="D9D9D9" w:themeFill="background1" w:themeFillShade="d9" w:val="clear"/>
          </w:tcPr>
          <w:p>
            <w:pPr>
              <w:pStyle w:val="BodyText2"/>
              <w:widowControl/>
              <w:suppressAutoHyphens w:val="true"/>
              <w:spacing w:before="0" w:after="0"/>
              <w:jc w:val="center"/>
              <w:rPr>
                <w:rFonts w:ascii="Calibri" w:hAnsi="Calibri" w:cs="Calibri" w:asciiTheme="minorHAnsi" w:cstheme="minorHAnsi" w:hAnsiTheme="minorHAnsi"/>
                <w:b/>
                <w:bCs/>
                <w:sz w:val="20"/>
              </w:rPr>
            </w:pPr>
            <w:r>
              <w:rPr>
                <w:rFonts w:cs="Calibri" w:ascii="Calibri" w:hAnsi="Calibri" w:asciiTheme="minorHAnsi" w:cstheme="minorHAnsi" w:hAnsiTheme="minorHAnsi"/>
                <w:b/>
                <w:bCs/>
                <w:color w:themeColor="text1" w:themeTint="d9" w:val="000000"/>
                <w:kern w:val="0"/>
                <w:sz w:val="20"/>
                <w:lang w:val="fr-FR" w:bidi="ar-SA"/>
              </w:rPr>
              <w:t>Identifiant</w:t>
            </w:r>
          </w:p>
        </w:tc>
      </w:tr>
    </w:tbl>
    <w:p>
      <w:pPr>
        <w:pStyle w:val="BodyText2"/>
        <w:jc w:val="left"/>
        <w:rPr/>
      </w:pPr>
      <w:r>
        <w:rPr/>
      </w:r>
    </w:p>
    <w:sectPr>
      <w:type w:val="continuous"/>
      <w:pgSz w:w="11906" w:h="16838"/>
      <w:pgMar w:left="1417" w:right="1133" w:gutter="0" w:header="279" w:top="567" w:footer="401" w:bottom="458"/>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Liberation Sans">
    <w:altName w:val="Arial"/>
    <w:charset w:val="01"/>
    <w:family w:val="roman"/>
    <w:pitch w:val="variable"/>
  </w:font>
  <w:font w:name="Bauhaus 93">
    <w:charset w:val="01"/>
    <w:family w:val="roman"/>
    <w:pitch w:val="variable"/>
  </w:font>
  <w:font w:name="Gill Sans MT">
    <w:charset w:val="01"/>
    <w:family w:val="roman"/>
    <w:pitch w:val="variable"/>
  </w:font>
  <w:font w:name="Adobe Caslon Pro">
    <w:charset w:val="01"/>
    <w:family w:val="roman"/>
    <w:pitch w:val="variable"/>
  </w:font>
  <w:font w:name="Calibri">
    <w:charset w:val="01"/>
    <w:family w:val="roman"/>
    <w:pitch w:val="variable"/>
  </w:font>
  <w:font w:name="Book Antiqua">
    <w:charset w:val="01"/>
    <w:family w:val="roman"/>
    <w:pitch w:val="variable"/>
  </w:font>
  <w:font w:name="Wingdings">
    <w:charset w:val="0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mc:AlternateContent>
        <mc:Choice Requires="wps">
          <w:drawing>
            <wp:anchor behindDoc="1" distT="0" distB="0" distL="0" distR="0" simplePos="0" locked="0" layoutInCell="0" allowOverlap="1" relativeHeight="12">
              <wp:simplePos x="0" y="0"/>
              <wp:positionH relativeFrom="margin">
                <wp:align>right</wp:align>
              </wp:positionH>
              <wp:positionV relativeFrom="paragraph">
                <wp:posOffset>635</wp:posOffset>
              </wp:positionV>
              <wp:extent cx="14605" cy="14605"/>
              <wp:effectExtent l="0" t="0" r="0" b="0"/>
              <wp:wrapSquare wrapText="bothSides"/>
              <wp:docPr id="9" name="Frame6"/>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rPr>
                              <w:rStyle w:val="PageNumber"/>
                            </w:rPr>
                          </w:pPr>
                          <w:r>
                            <w:rPr>
                              <w:rStyle w:val="PageNumber"/>
                              <w:color w:themeColor="text1" w:themeTint="d9" w:val="262626"/>
                            </w:rPr>
                            <w:fldChar w:fldCharType="begin"/>
                          </w:r>
                          <w:r>
                            <w:rPr>
                              <w:rStyle w:val="PageNumber"/>
                              <w:color w:themeColor="text1" w:themeTint="d9" w:val="262626"/>
                            </w:rPr>
                            <w:instrText xml:space="preserve"> PAGE </w:instrText>
                          </w:r>
                          <w:r>
                            <w:rPr>
                              <w:rStyle w:val="PageNumber"/>
                              <w:color w:themeColor="text1" w:themeTint="d9" w:val="262626"/>
                            </w:rPr>
                            <w:fldChar w:fldCharType="separate"/>
                          </w:r>
                          <w:r>
                            <w:rPr>
                              <w:rStyle w:val="PageNumber"/>
                              <w:color w:themeColor="text1" w:themeTint="d9" w:val="262626"/>
                            </w:rPr>
                            <w:t>0</w:t>
                          </w:r>
                          <w:r>
                            <w:rPr>
                              <w:rStyle w:val="PageNumber"/>
                              <w:color w:themeColor="text1" w:themeTint="d9" w:val="262626"/>
                            </w:rPr>
                            <w:fldChar w:fldCharType="end"/>
                          </w:r>
                        </w:p>
                      </w:txbxContent>
                    </wps:txbx>
                    <wps:bodyPr lIns="0" rIns="0" tIns="0" bIns="0" anchor="t">
                      <a:spAutoFit/>
                    </wps:bodyPr>
                  </wps:wsp>
                </a:graphicData>
              </a:graphic>
            </wp:anchor>
          </w:drawing>
        </mc:Choice>
        <mc:Fallback>
          <w:pict>
            <v:rect id="shape_0" ID="Frame6" path="m0,0l-2147483645,0l-2147483645,-2147483646l0,-2147483646xe" stroked="f" o:allowincell="f" style="position:absolute;margin-left:0pt;margin-top:0.05pt;width:1.1pt;height:1.1pt;mso-wrap-style:square;v-text-anchor:top;mso-position-horizontal:right;mso-position-horizontal-relative:margin">
              <v:fill o:detectmouseclick="t" on="false"/>
              <v:stroke color="#3465a4" joinstyle="round" endcap="flat"/>
              <v:textbox>
                <w:txbxContent>
                  <w:p>
                    <w:pPr>
                      <w:pStyle w:val="Footer"/>
                      <w:rPr>
                        <w:rStyle w:val="PageNumber"/>
                      </w:rPr>
                    </w:pPr>
                    <w:r>
                      <w:rPr>
                        <w:rStyle w:val="PageNumber"/>
                        <w:color w:themeColor="text1" w:themeTint="d9" w:val="262626"/>
                      </w:rPr>
                      <w:fldChar w:fldCharType="begin"/>
                    </w:r>
                    <w:r>
                      <w:rPr>
                        <w:rStyle w:val="PageNumber"/>
                        <w:color w:themeColor="text1" w:themeTint="d9" w:val="262626"/>
                      </w:rPr>
                      <w:instrText xml:space="preserve"> PAGE </w:instrText>
                    </w:r>
                    <w:r>
                      <w:rPr>
                        <w:rStyle w:val="PageNumber"/>
                        <w:color w:themeColor="text1" w:themeTint="d9" w:val="262626"/>
                      </w:rPr>
                      <w:fldChar w:fldCharType="separate"/>
                    </w:r>
                    <w:r>
                      <w:rPr>
                        <w:rStyle w:val="PageNumber"/>
                        <w:color w:themeColor="text1" w:themeTint="d9" w:val="262626"/>
                      </w:rPr>
                      <w:t>0</w:t>
                    </w:r>
                    <w:r>
                      <w:rPr>
                        <w:rStyle w:val="PageNumber"/>
                        <w:color w:themeColor="text1" w:themeTint="d9" w:val="262626"/>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05238520"/>
    </w:sdtPr>
    <w:sdtContent>
      <w:p>
        <w:pPr>
          <w:pStyle w:val="Footer"/>
          <w:rPr/>
        </w:pPr>
        <w:r>
          <w:drawing>
            <wp:anchor behindDoc="1" distT="0" distB="0" distL="0" distR="0" simplePos="0" locked="0" layoutInCell="0" allowOverlap="1" relativeHeight="4">
              <wp:simplePos x="0" y="0"/>
              <wp:positionH relativeFrom="margin">
                <wp:posOffset>5523230</wp:posOffset>
              </wp:positionH>
              <wp:positionV relativeFrom="paragraph">
                <wp:posOffset>-174625</wp:posOffset>
              </wp:positionV>
              <wp:extent cx="790575" cy="412750"/>
              <wp:effectExtent l="0" t="0" r="0" b="0"/>
              <wp:wrapNone/>
              <wp:docPr id="10"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 descr=""/>
                      <pic:cNvPicPr>
                        <a:picLocks noChangeAspect="1" noChangeArrowheads="1"/>
                      </pic:cNvPicPr>
                    </pic:nvPicPr>
                    <pic:blipFill>
                      <a:blip r:embed="rId1"/>
                      <a:stretch>
                        <a:fillRect/>
                      </a:stretch>
                    </pic:blipFill>
                    <pic:spPr bwMode="auto">
                      <a:xfrm>
                        <a:off x="0" y="0"/>
                        <a:ext cx="790575" cy="412750"/>
                      </a:xfrm>
                      <a:prstGeom prst="rect">
                        <a:avLst/>
                      </a:prstGeom>
                    </pic:spPr>
                  </pic:pic>
                </a:graphicData>
              </a:graphic>
            </wp:anchor>
          </w:drawing>
        </w:r>
        <w:r>
          <w:rPr>
            <w:sz w:val="14"/>
            <w:szCs w:val="14"/>
          </w:rPr>
          <w:t xml:space="preserve">Page </w:t>
        </w:r>
        <w:r>
          <w:rPr>
            <w:b/>
            <w:bCs/>
            <w:sz w:val="14"/>
            <w:szCs w:val="14"/>
          </w:rPr>
          <w:fldChar w:fldCharType="begin"/>
        </w:r>
        <w:r>
          <w:rPr>
            <w:sz w:val="14"/>
            <w:b/>
            <w:szCs w:val="14"/>
            <w:bCs/>
          </w:rPr>
          <w:instrText xml:space="preserve"> PAGE </w:instrText>
        </w:r>
        <w:r>
          <w:rPr>
            <w:sz w:val="14"/>
            <w:b/>
            <w:szCs w:val="14"/>
            <w:bCs/>
          </w:rPr>
          <w:fldChar w:fldCharType="separate"/>
        </w:r>
        <w:r>
          <w:rPr>
            <w:sz w:val="14"/>
            <w:b/>
            <w:szCs w:val="14"/>
            <w:bCs/>
          </w:rPr>
          <w:t>3</w:t>
        </w:r>
        <w:r>
          <w:rPr>
            <w:sz w:val="14"/>
            <w:b/>
            <w:szCs w:val="14"/>
            <w:bCs/>
          </w:rPr>
          <w:fldChar w:fldCharType="end"/>
        </w:r>
        <w:r>
          <w:rPr>
            <w:sz w:val="14"/>
            <w:szCs w:val="14"/>
          </w:rPr>
          <w:t xml:space="preserve"> sur </w:t>
        </w:r>
        <w:r>
          <w:rPr>
            <w:b/>
            <w:bCs/>
            <w:sz w:val="14"/>
            <w:szCs w:val="14"/>
          </w:rPr>
          <w:fldChar w:fldCharType="begin"/>
        </w:r>
        <w:r>
          <w:rPr>
            <w:sz w:val="14"/>
            <w:b/>
            <w:szCs w:val="14"/>
            <w:bCs/>
          </w:rPr>
          <w:instrText xml:space="preserve"> NUMPAGES </w:instrText>
        </w:r>
        <w:r>
          <w:rPr>
            <w:sz w:val="14"/>
            <w:b/>
            <w:szCs w:val="14"/>
            <w:bCs/>
          </w:rPr>
          <w:fldChar w:fldCharType="separate"/>
        </w:r>
        <w:r>
          <w:rPr>
            <w:sz w:val="14"/>
            <w:b/>
            <w:szCs w:val="14"/>
            <w:bCs/>
          </w:rPr>
          <w:t>3</w:t>
        </w:r>
        <w:r>
          <w:rPr>
            <w:sz w:val="14"/>
            <w:b/>
            <w:szCs w:val="14"/>
            <w:bCs/>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05238520"/>
    </w:sdtPr>
    <w:sdtContent>
      <w:p>
        <w:pPr>
          <w:pStyle w:val="Footer"/>
          <w:rPr/>
        </w:pPr>
        <w:r>
          <w:drawing>
            <wp:anchor behindDoc="1" distT="0" distB="0" distL="0" distR="0" simplePos="0" locked="0" layoutInCell="0" allowOverlap="1" relativeHeight="4">
              <wp:simplePos x="0" y="0"/>
              <wp:positionH relativeFrom="margin">
                <wp:posOffset>5523230</wp:posOffset>
              </wp:positionH>
              <wp:positionV relativeFrom="paragraph">
                <wp:posOffset>-174625</wp:posOffset>
              </wp:positionV>
              <wp:extent cx="790575" cy="412750"/>
              <wp:effectExtent l="0" t="0" r="0" b="0"/>
              <wp:wrapNone/>
              <wp:docPr id="1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2" descr=""/>
                      <pic:cNvPicPr>
                        <a:picLocks noChangeAspect="1" noChangeArrowheads="1"/>
                      </pic:cNvPicPr>
                    </pic:nvPicPr>
                    <pic:blipFill>
                      <a:blip r:embed="rId1"/>
                      <a:stretch>
                        <a:fillRect/>
                      </a:stretch>
                    </pic:blipFill>
                    <pic:spPr bwMode="auto">
                      <a:xfrm>
                        <a:off x="0" y="0"/>
                        <a:ext cx="790575" cy="412750"/>
                      </a:xfrm>
                      <a:prstGeom prst="rect">
                        <a:avLst/>
                      </a:prstGeom>
                    </pic:spPr>
                  </pic:pic>
                </a:graphicData>
              </a:graphic>
            </wp:anchor>
          </w:drawing>
        </w:r>
        <w:r>
          <w:rPr>
            <w:sz w:val="14"/>
            <w:szCs w:val="14"/>
          </w:rPr>
          <w:t xml:space="preserve">Page </w:t>
        </w:r>
        <w:r>
          <w:rPr>
            <w:b/>
            <w:bCs/>
            <w:sz w:val="14"/>
            <w:szCs w:val="14"/>
          </w:rPr>
          <w:fldChar w:fldCharType="begin"/>
        </w:r>
        <w:r>
          <w:rPr>
            <w:sz w:val="14"/>
            <w:b/>
            <w:szCs w:val="14"/>
            <w:bCs/>
          </w:rPr>
          <w:instrText xml:space="preserve"> PAGE </w:instrText>
        </w:r>
        <w:r>
          <w:rPr>
            <w:sz w:val="14"/>
            <w:b/>
            <w:szCs w:val="14"/>
            <w:bCs/>
          </w:rPr>
          <w:fldChar w:fldCharType="separate"/>
        </w:r>
        <w:r>
          <w:rPr>
            <w:sz w:val="14"/>
            <w:b/>
            <w:szCs w:val="14"/>
            <w:bCs/>
          </w:rPr>
          <w:t>3</w:t>
        </w:r>
        <w:r>
          <w:rPr>
            <w:sz w:val="14"/>
            <w:b/>
            <w:szCs w:val="14"/>
            <w:bCs/>
          </w:rPr>
          <w:fldChar w:fldCharType="end"/>
        </w:r>
        <w:r>
          <w:rPr>
            <w:sz w:val="14"/>
            <w:szCs w:val="14"/>
          </w:rPr>
          <w:t xml:space="preserve"> sur </w:t>
        </w:r>
        <w:r>
          <w:rPr>
            <w:b/>
            <w:bCs/>
            <w:sz w:val="14"/>
            <w:szCs w:val="14"/>
          </w:rPr>
          <w:fldChar w:fldCharType="begin"/>
        </w:r>
        <w:r>
          <w:rPr>
            <w:sz w:val="14"/>
            <w:b/>
            <w:szCs w:val="14"/>
            <w:bCs/>
          </w:rPr>
          <w:instrText xml:space="preserve"> NUMPAGES </w:instrText>
        </w:r>
        <w:r>
          <w:rPr>
            <w:sz w:val="14"/>
            <w:b/>
            <w:szCs w:val="14"/>
            <w:bCs/>
          </w:rPr>
          <w:fldChar w:fldCharType="separate"/>
        </w:r>
        <w:r>
          <w:rPr>
            <w:sz w:val="14"/>
            <w:b/>
            <w:szCs w:val="14"/>
            <w:bCs/>
          </w:rPr>
          <w:t>3</w:t>
        </w:r>
        <w:r>
          <w:rPr>
            <w:sz w:val="14"/>
            <w:b/>
            <w:szCs w:val="14"/>
            <w:bCs/>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rPr/>
    </w:pPr>
    <w:r>
      <mc:AlternateContent>
        <mc:Choice Requires="wps">
          <w:drawing>
            <wp:anchor behindDoc="1" distT="0" distB="0" distL="0" distR="0" simplePos="0" locked="0" layoutInCell="0" allowOverlap="1" relativeHeight="10" wp14:anchorId="33FCA3D6">
              <wp:simplePos x="0" y="0"/>
              <wp:positionH relativeFrom="margin">
                <wp:posOffset>5457190</wp:posOffset>
              </wp:positionH>
              <wp:positionV relativeFrom="paragraph">
                <wp:posOffset>-72390</wp:posOffset>
              </wp:positionV>
              <wp:extent cx="1162050" cy="247650"/>
              <wp:effectExtent l="0" t="0" r="0" b="0"/>
              <wp:wrapNone/>
              <wp:docPr id="7" name="Zone de texte 12"/>
              <a:graphic xmlns:a="http://schemas.openxmlformats.org/drawingml/2006/main">
                <a:graphicData uri="http://schemas.microsoft.com/office/word/2010/wordprocessingShape">
                  <wps:wsp>
                    <wps:cNvSpPr/>
                    <wps:spPr>
                      <a:xfrm>
                        <a:off x="0" y="0"/>
                        <a:ext cx="1162080" cy="247680"/>
                      </a:xfrm>
                      <a:prstGeom prst="rect">
                        <a:avLst/>
                      </a:prstGeom>
                      <a:noFill/>
                      <a:ln w="6350">
                        <a:noFill/>
                      </a:ln>
                    </wps:spPr>
                    <wps:style>
                      <a:lnRef idx="0"/>
                      <a:fillRef idx="0"/>
                      <a:effectRef idx="0"/>
                      <a:fontRef idx="minor"/>
                    </wps:style>
                    <wps:txbx>
                      <w:txbxContent>
                        <w:p>
                          <w:pPr>
                            <w:pStyle w:val="FrameContents"/>
                            <w:rPr>
                              <w:rFonts w:ascii="Calibri" w:hAnsi="Calibri" w:cs="Calibri" w:asciiTheme="minorHAnsi" w:cstheme="minorHAnsi" w:hAnsiTheme="minorHAnsi"/>
                              <w:sz w:val="14"/>
                              <w:szCs w:val="14"/>
                            </w:rPr>
                          </w:pPr>
                          <w:r>
                            <w:rPr>
                              <w:rFonts w:cs="Calibri" w:ascii="Calibri" w:hAnsi="Calibri" w:asciiTheme="minorHAnsi" w:cstheme="minorHAnsi" w:hAnsiTheme="minorHAnsi"/>
                              <w:color w:themeColor="text1" w:themeTint="d9" w:val="262626"/>
                              <w:sz w:val="14"/>
                              <w:szCs w:val="14"/>
                            </w:rPr>
                            <w:t>VEONI- Doc-CPS-011-0624</w:t>
                          </w:r>
                        </w:p>
                      </w:txbxContent>
                    </wps:txbx>
                    <wps:bodyPr anchor="t">
                      <a:prstTxWarp prst="textNoShape"/>
                      <a:noAutofit/>
                    </wps:bodyPr>
                  </wps:wsp>
                </a:graphicData>
              </a:graphic>
            </wp:anchor>
          </w:drawing>
        </mc:Choice>
        <mc:Fallback>
          <w:pict>
            <v:rect id="shape_0" ID="Zone de texte 12" path="m0,0l-2147483645,0l-2147483645,-2147483646l0,-2147483646xe" stroked="f" o:allowincell="f" style="position:absolute;margin-left:429.7pt;margin-top:-5.7pt;width:91.45pt;height:19.45pt;mso-wrap-style:square;v-text-anchor:top;mso-position-horizontal-relative:margin" wp14:anchorId="33FCA3D6">
              <v:fill o:detectmouseclick="t" on="false"/>
              <v:stroke color="#3465a4" weight="6480" joinstyle="round" endcap="flat"/>
              <v:textbox>
                <w:txbxContent>
                  <w:p>
                    <w:pPr>
                      <w:pStyle w:val="FrameContents"/>
                      <w:rPr>
                        <w:rFonts w:ascii="Calibri" w:hAnsi="Calibri" w:cs="Calibri" w:asciiTheme="minorHAnsi" w:cstheme="minorHAnsi" w:hAnsiTheme="minorHAnsi"/>
                        <w:sz w:val="14"/>
                        <w:szCs w:val="14"/>
                      </w:rPr>
                    </w:pPr>
                    <w:r>
                      <w:rPr>
                        <w:rFonts w:cs="Calibri" w:ascii="Calibri" w:hAnsi="Calibri" w:asciiTheme="minorHAnsi" w:cstheme="minorHAnsi" w:hAnsiTheme="minorHAnsi"/>
                        <w:color w:themeColor="text1" w:themeTint="d9" w:val="262626"/>
                        <w:sz w:val="14"/>
                        <w:szCs w:val="14"/>
                      </w:rPr>
                      <w:t>VEONI- Doc-CPS-011-0624</w:t>
                    </w:r>
                  </w:p>
                </w:txbxContent>
              </v:textbox>
              <w10:wrap type="none"/>
            </v:rect>
          </w:pict>
        </mc:Fallback>
      </mc:AlternateContent>
    </w: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rPr/>
    </w:pPr>
    <w:r>
      <mc:AlternateContent>
        <mc:Choice Requires="wps">
          <w:drawing>
            <wp:anchor behindDoc="1" distT="0" distB="0" distL="0" distR="0" simplePos="0" locked="0" layoutInCell="0" allowOverlap="1" relativeHeight="10" wp14:anchorId="33FCA3D6">
              <wp:simplePos x="0" y="0"/>
              <wp:positionH relativeFrom="margin">
                <wp:posOffset>5457190</wp:posOffset>
              </wp:positionH>
              <wp:positionV relativeFrom="paragraph">
                <wp:posOffset>-72390</wp:posOffset>
              </wp:positionV>
              <wp:extent cx="1162050" cy="247650"/>
              <wp:effectExtent l="0" t="0" r="0" b="0"/>
              <wp:wrapNone/>
              <wp:docPr id="8" name="Zone de texte 12"/>
              <a:graphic xmlns:a="http://schemas.openxmlformats.org/drawingml/2006/main">
                <a:graphicData uri="http://schemas.microsoft.com/office/word/2010/wordprocessingShape">
                  <wps:wsp>
                    <wps:cNvSpPr/>
                    <wps:spPr>
                      <a:xfrm>
                        <a:off x="0" y="0"/>
                        <a:ext cx="1162080" cy="247680"/>
                      </a:xfrm>
                      <a:prstGeom prst="rect">
                        <a:avLst/>
                      </a:prstGeom>
                      <a:noFill/>
                      <a:ln w="6350">
                        <a:noFill/>
                      </a:ln>
                    </wps:spPr>
                    <wps:style>
                      <a:lnRef idx="0"/>
                      <a:fillRef idx="0"/>
                      <a:effectRef idx="0"/>
                      <a:fontRef idx="minor"/>
                    </wps:style>
                    <wps:txbx>
                      <w:txbxContent>
                        <w:p>
                          <w:pPr>
                            <w:pStyle w:val="FrameContents"/>
                            <w:rPr>
                              <w:rFonts w:ascii="Calibri" w:hAnsi="Calibri" w:cs="Calibri" w:asciiTheme="minorHAnsi" w:cstheme="minorHAnsi" w:hAnsiTheme="minorHAnsi"/>
                              <w:sz w:val="14"/>
                              <w:szCs w:val="14"/>
                            </w:rPr>
                          </w:pPr>
                          <w:r>
                            <w:rPr>
                              <w:rFonts w:cs="Calibri" w:ascii="Calibri" w:hAnsi="Calibri" w:asciiTheme="minorHAnsi" w:cstheme="minorHAnsi" w:hAnsiTheme="minorHAnsi"/>
                              <w:color w:themeColor="text1" w:themeTint="d9" w:val="262626"/>
                              <w:sz w:val="14"/>
                              <w:szCs w:val="14"/>
                            </w:rPr>
                            <w:t>VEONI- Doc-CPS-011-0624</w:t>
                          </w:r>
                        </w:p>
                      </w:txbxContent>
                    </wps:txbx>
                    <wps:bodyPr anchor="t">
                      <a:prstTxWarp prst="textNoShape"/>
                      <a:noAutofit/>
                    </wps:bodyPr>
                  </wps:wsp>
                </a:graphicData>
              </a:graphic>
            </wp:anchor>
          </w:drawing>
        </mc:Choice>
        <mc:Fallback>
          <w:pict>
            <v:rect id="shape_0" ID="Zone de texte 12" path="m0,0l-2147483645,0l-2147483645,-2147483646l0,-2147483646xe" stroked="f" o:allowincell="f" style="position:absolute;margin-left:429.7pt;margin-top:-5.7pt;width:91.45pt;height:19.45pt;mso-wrap-style:square;v-text-anchor:top;mso-position-horizontal-relative:margin" wp14:anchorId="33FCA3D6">
              <v:fill o:detectmouseclick="t" on="false"/>
              <v:stroke color="#3465a4" weight="6480" joinstyle="round" endcap="flat"/>
              <v:textbox>
                <w:txbxContent>
                  <w:p>
                    <w:pPr>
                      <w:pStyle w:val="FrameContents"/>
                      <w:rPr>
                        <w:rFonts w:ascii="Calibri" w:hAnsi="Calibri" w:cs="Calibri" w:asciiTheme="minorHAnsi" w:cstheme="minorHAnsi" w:hAnsiTheme="minorHAnsi"/>
                        <w:sz w:val="14"/>
                        <w:szCs w:val="14"/>
                      </w:rPr>
                    </w:pPr>
                    <w:r>
                      <w:rPr>
                        <w:rFonts w:cs="Calibri" w:ascii="Calibri" w:hAnsi="Calibri" w:asciiTheme="minorHAnsi" w:cstheme="minorHAnsi" w:hAnsiTheme="minorHAnsi"/>
                        <w:color w:themeColor="text1" w:themeTint="d9" w:val="262626"/>
                        <w:sz w:val="14"/>
                        <w:szCs w:val="14"/>
                      </w:rPr>
                      <w:t>VEONI- Doc-CPS-011-0624</w:t>
                    </w:r>
                  </w:p>
                </w:txbxContent>
              </v:textbox>
              <w10:wrap type="none"/>
            </v:rect>
          </w:pict>
        </mc:Fallback>
      </mc:AlternateContent>
    </w: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432" w:hanging="432"/>
      </w:pPr>
      <w:rPr>
        <w:dstrike w:val="false"/>
        <w:strike w:val="false"/>
        <w:b/>
        <w:bCs/>
        <w:color w:themeColor="text1" w:themeTint="d9"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9"/>
      <w:numFmt w:val="decimal"/>
      <w:lvlText w:val="%1"/>
      <w:lvlJc w:val="left"/>
      <w:pPr>
        <w:tabs>
          <w:tab w:val="num" w:pos="0"/>
        </w:tabs>
        <w:ind w:left="360" w:hanging="360"/>
      </w:pPr>
      <w:rPr/>
    </w:lvl>
    <w:lvl w:ilvl="1">
      <w:start w:val="2"/>
      <w:numFmt w:val="decimal"/>
      <w:lvlText w:val="%1.%2"/>
      <w:lvlJc w:val="left"/>
      <w:pPr>
        <w:tabs>
          <w:tab w:val="num" w:pos="0"/>
        </w:tabs>
        <w:ind w:left="360" w:hanging="360"/>
      </w:pPr>
      <w:rPr>
        <w:dstrike w:val="false"/>
        <w:strike w:val="false"/>
        <w:b/>
        <w:bCs/>
      </w:rPr>
    </w:lvl>
    <w:lvl w:ilvl="2">
      <w:start w:val="1"/>
      <w:numFmt w:val="decimal"/>
      <w:lvlText w:val="%1.%2.%3"/>
      <w:lvlJc w:val="left"/>
      <w:pPr>
        <w:tabs>
          <w:tab w:val="num" w:pos="0"/>
        </w:tabs>
        <w:ind w:left="360" w:hanging="36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720" w:hanging="720"/>
      </w:pPr>
      <w:rPr/>
    </w:lvl>
    <w:lvl w:ilvl="5">
      <w:start w:val="1"/>
      <w:numFmt w:val="decimal"/>
      <w:lvlText w:val="%1.%2.%3.%4.%5.%6"/>
      <w:lvlJc w:val="left"/>
      <w:pPr>
        <w:tabs>
          <w:tab w:val="num" w:pos="0"/>
        </w:tabs>
        <w:ind w:left="720" w:hanging="720"/>
      </w:pPr>
      <w:rPr/>
    </w:lvl>
    <w:lvl w:ilvl="6">
      <w:start w:val="1"/>
      <w:numFmt w:val="decimal"/>
      <w:lvlText w:val="%1.%2.%3.%4.%5.%6.%7"/>
      <w:lvlJc w:val="left"/>
      <w:pPr>
        <w:tabs>
          <w:tab w:val="num" w:pos="0"/>
        </w:tabs>
        <w:ind w:left="720" w:hanging="720"/>
      </w:pPr>
      <w:rPr/>
    </w:lvl>
    <w:lvl w:ilvl="7">
      <w:start w:val="1"/>
      <w:numFmt w:val="decimal"/>
      <w:lvlText w:val="%1.%2.%3.%4.%5.%6.%7.%8"/>
      <w:lvlJc w:val="left"/>
      <w:pPr>
        <w:tabs>
          <w:tab w:val="num" w:pos="0"/>
        </w:tabs>
        <w:ind w:left="1080" w:hanging="1080"/>
      </w:pPr>
      <w:rPr/>
    </w:lvl>
    <w:lvl w:ilvl="8">
      <w:start w:val="1"/>
      <w:numFmt w:val="decimal"/>
      <w:lvlText w:val="%1.%2.%3.%4.%5.%6.%7.%8.%9"/>
      <w:lvlJc w:val="left"/>
      <w:pPr>
        <w:tabs>
          <w:tab w:val="num" w:pos="0"/>
        </w:tabs>
        <w:ind w:left="1080" w:hanging="10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alibri" w:cs="Courier New" w:eastAsiaTheme="minorHAnsi"/>
        <w:color w:themeColor="text1" w:themeTint="d9" w:val="262626"/>
        <w:spacing w:val="8"/>
        <w:sz w:val="19"/>
        <w:szCs w:val="19"/>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1f3a"/>
    <w:pPr>
      <w:widowControl/>
      <w:suppressAutoHyphens w:val="true"/>
      <w:bidi w:val="0"/>
      <w:spacing w:lineRule="auto" w:line="240" w:before="0" w:after="0"/>
      <w:jc w:val="left"/>
    </w:pPr>
    <w:rPr>
      <w:rFonts w:ascii="Times New Roman" w:hAnsi="Times New Roman" w:eastAsia="Times New Roman" w:cs="Times New Roman"/>
      <w:color w:themeColor="text1" w:themeTint="d9" w:val="auto"/>
      <w:spacing w:val="0"/>
      <w:kern w:val="0"/>
      <w:sz w:val="24"/>
      <w:szCs w:val="24"/>
      <w:lang w:val="fr-FR" w:eastAsia="fr-FR" w:bidi="ar-SA"/>
    </w:rPr>
  </w:style>
  <w:style w:type="character" w:styleId="DefaultParagraphFont" w:default="1">
    <w:name w:val="Default Paragraph Font"/>
    <w:uiPriority w:val="1"/>
    <w:semiHidden/>
    <w:unhideWhenUsed/>
    <w:qFormat/>
    <w:rPr/>
  </w:style>
  <w:style w:type="character" w:styleId="Corpsdetexte2Car" w:customStyle="1">
    <w:name w:val="Corps de texte 2 Car"/>
    <w:basedOn w:val="DefaultParagraphFont"/>
    <w:link w:val="BodyText2"/>
    <w:uiPriority w:val="99"/>
    <w:semiHidden/>
    <w:qFormat/>
    <w:rsid w:val="007c5e82"/>
    <w:rPr>
      <w:rFonts w:ascii="Times New Roman" w:hAnsi="Times New Roman" w:eastAsia="Times New Roman" w:cs="Times New Roman"/>
      <w:color w:themeColor="text1" w:themeTint="d9" w:val="000000"/>
      <w:spacing w:val="0"/>
      <w:sz w:val="24"/>
      <w:szCs w:val="20"/>
      <w:lang w:eastAsia="fr-FR"/>
    </w:rPr>
  </w:style>
  <w:style w:type="character" w:styleId="En-tteCar" w:customStyle="1">
    <w:name w:val="En-tête Car"/>
    <w:basedOn w:val="DefaultParagraphFont"/>
    <w:link w:val="Header"/>
    <w:uiPriority w:val="99"/>
    <w:semiHidden/>
    <w:qFormat/>
    <w:rsid w:val="007c5e82"/>
    <w:rPr>
      <w:rFonts w:ascii="Times New Roman" w:hAnsi="Times New Roman" w:eastAsia="Times New Roman" w:cs="Times New Roman"/>
      <w:color w:themeColor="text1" w:themeTint="d9" w:val="auto"/>
      <w:spacing w:val="0"/>
      <w:sz w:val="24"/>
      <w:szCs w:val="24"/>
      <w:lang w:eastAsia="fr-FR"/>
    </w:rPr>
  </w:style>
  <w:style w:type="character" w:styleId="PieddepageCar" w:customStyle="1">
    <w:name w:val="Pied de page Car"/>
    <w:basedOn w:val="DefaultParagraphFont"/>
    <w:link w:val="Footer"/>
    <w:uiPriority w:val="99"/>
    <w:qFormat/>
    <w:rsid w:val="007c5e82"/>
    <w:rPr>
      <w:rFonts w:ascii="Times New Roman" w:hAnsi="Times New Roman" w:eastAsia="Times New Roman" w:cs="Times New Roman"/>
      <w:color w:themeColor="text1" w:themeTint="d9" w:val="auto"/>
      <w:spacing w:val="0"/>
      <w:sz w:val="24"/>
      <w:szCs w:val="24"/>
      <w:lang w:eastAsia="fr-FR"/>
    </w:rPr>
  </w:style>
  <w:style w:type="character" w:styleId="PageNumber">
    <w:name w:val="Page Number"/>
    <w:basedOn w:val="DefaultParagraphFont"/>
    <w:uiPriority w:val="99"/>
    <w:semiHidden/>
    <w:rsid w:val="007c5e82"/>
    <w:rPr>
      <w:rFonts w:cs="Times New Roman"/>
    </w:rPr>
  </w:style>
  <w:style w:type="paragraph" w:styleId="Heading">
    <w:name w:val="Heading"/>
    <w:basedOn w:val="Normal"/>
    <w:next w:val="BodyText"/>
    <w:qFormat/>
    <w:pPr>
      <w:keepNext w:val="true"/>
      <w:spacing w:before="240" w:after="120"/>
    </w:pPr>
    <w:rPr>
      <w:rFonts w:ascii="Liberation Sans" w:hAnsi="Liberation Sans" w:eastAsia="Noto Sans" w:cs="Roboto"/>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Roboto"/>
    </w:rPr>
  </w:style>
  <w:style w:type="paragraph" w:styleId="Caption">
    <w:name w:val="Caption"/>
    <w:basedOn w:val="Normal"/>
    <w:qFormat/>
    <w:pPr>
      <w:suppressLineNumbers/>
      <w:spacing w:before="120" w:after="120"/>
    </w:pPr>
    <w:rPr>
      <w:rFonts w:cs="Roboto"/>
      <w:i/>
      <w:iCs/>
      <w:sz w:val="24"/>
      <w:szCs w:val="24"/>
    </w:rPr>
  </w:style>
  <w:style w:type="paragraph" w:styleId="Index">
    <w:name w:val="Index"/>
    <w:basedOn w:val="Normal"/>
    <w:qFormat/>
    <w:pPr>
      <w:suppressLineNumbers/>
    </w:pPr>
    <w:rPr>
      <w:rFonts w:cs="Roboto"/>
    </w:rPr>
  </w:style>
  <w:style w:type="paragraph" w:styleId="BodyText2">
    <w:name w:val="Body Text 2"/>
    <w:basedOn w:val="Normal"/>
    <w:link w:val="Corpsdetexte2Car"/>
    <w:uiPriority w:val="99"/>
    <w:semiHidden/>
    <w:qFormat/>
    <w:rsid w:val="007c5e82"/>
    <w:pPr>
      <w:jc w:val="both"/>
    </w:pPr>
    <w:rPr>
      <w:color w:themeColor="text1" w:themeTint="d9" w:val="000000"/>
      <w:szCs w:val="20"/>
    </w:rPr>
  </w:style>
  <w:style w:type="paragraph" w:styleId="HeaderandFooter">
    <w:name w:val="Header and Footer"/>
    <w:basedOn w:val="Normal"/>
    <w:qFormat/>
    <w:pPr/>
    <w:rPr/>
  </w:style>
  <w:style w:type="paragraph" w:styleId="Header">
    <w:name w:val="Header"/>
    <w:basedOn w:val="Normal"/>
    <w:link w:val="En-tteCar"/>
    <w:uiPriority w:val="99"/>
    <w:semiHidden/>
    <w:rsid w:val="007c5e82"/>
    <w:pPr>
      <w:tabs>
        <w:tab w:val="clear" w:pos="708"/>
        <w:tab w:val="center" w:pos="4536" w:leader="none"/>
        <w:tab w:val="right" w:pos="9072" w:leader="none"/>
      </w:tabs>
    </w:pPr>
    <w:rPr/>
  </w:style>
  <w:style w:type="paragraph" w:styleId="Footer">
    <w:name w:val="Footer"/>
    <w:basedOn w:val="Normal"/>
    <w:link w:val="PieddepageCar"/>
    <w:uiPriority w:val="99"/>
    <w:rsid w:val="007c5e82"/>
    <w:pPr>
      <w:tabs>
        <w:tab w:val="clear" w:pos="708"/>
        <w:tab w:val="center" w:pos="4536" w:leader="none"/>
        <w:tab w:val="right" w:pos="9072" w:leader="none"/>
      </w:tabs>
    </w:pPr>
    <w:rPr/>
  </w:style>
  <w:style w:type="paragraph" w:styleId="ListParagraph">
    <w:name w:val="List Paragraph"/>
    <w:basedOn w:val="Normal"/>
    <w:uiPriority w:val="99"/>
    <w:qFormat/>
    <w:rsid w:val="00d10dc4"/>
    <w:pPr>
      <w:spacing w:before="0" w:after="0"/>
      <w:ind w:left="720"/>
      <w:contextualSpacing/>
    </w:pPr>
    <w:rPr>
      <w:color w:themeColor="text1" w:themeTint="d9" w:val="000000"/>
      <w:kern w:val="2"/>
      <w:sz w:val="20"/>
      <w:szCs w:val="20"/>
    </w:rPr>
  </w:style>
  <w:style w:type="paragraph" w:styleId="NoSpacing">
    <w:name w:val="No Spacing"/>
    <w:uiPriority w:val="1"/>
    <w:qFormat/>
    <w:rsid w:val="00666074"/>
    <w:pPr>
      <w:widowControl/>
      <w:suppressAutoHyphens w:val="true"/>
      <w:bidi w:val="0"/>
      <w:spacing w:lineRule="auto" w:line="240" w:before="0" w:after="0"/>
      <w:jc w:val="left"/>
    </w:pPr>
    <w:rPr>
      <w:rFonts w:ascii="Times New Roman" w:hAnsi="Times New Roman" w:eastAsia="Times New Roman" w:cs="Times New Roman"/>
      <w:color w:themeColor="text1" w:themeTint="d9" w:val="auto"/>
      <w:spacing w:val="0"/>
      <w:kern w:val="0"/>
      <w:sz w:val="24"/>
      <w:szCs w:val="24"/>
      <w:lang w:val="fr-FR" w:eastAsia="fr-FR" w:bidi="ar-SA"/>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ae55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2.png"/>
</Relationships>
</file>

<file path=word/_rels/foot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95B30-0058-4A0B-8AA6-2901B273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Application>LibreOffice/24.2.5.2$Linux_X86_64 LibreOffice_project/420$Build-2</Application>
  <AppVersion>15.0000</AppVersion>
  <Pages>3</Pages>
  <Words>2462</Words>
  <Characters>13012</Characters>
  <CharactersWithSpaces>15826</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2024-06-18T09:30:00Z</dcterms:created>
  <dc:creator>Union des transport régulier de personnes</dc:creator>
  <dc:description/>
  <dc:language>en-US</dc:language>
  <cp:lastModifiedBy/>
  <cp:lastPrinted>2024-06-18T09:33:00Z</cp:lastPrinted>
  <dcterms:modified xsi:type="dcterms:W3CDTF">2024-08-01T16:42:22Z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